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4C4" w:rsidRPr="004A4DA1" w:rsidRDefault="00C410A9" w:rsidP="004A4DA1">
      <w:pPr>
        <w:pStyle w:val="DecHTitle"/>
        <w:rPr>
          <w:sz w:val="4"/>
          <w:szCs w:val="4"/>
        </w:rPr>
      </w:pPr>
      <w:bookmarkStart w:id="0" w:name="_GoBack"/>
      <w:bookmarkEnd w:id="0"/>
      <w:r w:rsidRPr="004A4DA1">
        <w:rPr>
          <w:szCs w:val="24"/>
        </w:rPr>
        <w:t>PREMIÈRE SECTION</w:t>
      </w:r>
    </w:p>
    <w:p w:rsidR="006544C4" w:rsidRPr="004A4DA1" w:rsidRDefault="006544C4" w:rsidP="004A4DA1">
      <w:pPr>
        <w:pStyle w:val="DecHTitle"/>
        <w:rPr>
          <w:caps/>
          <w:sz w:val="32"/>
        </w:rPr>
      </w:pPr>
      <w:r w:rsidRPr="004A4DA1">
        <w:t>DÉCISION</w:t>
      </w:r>
    </w:p>
    <w:p w:rsidR="006544C4" w:rsidRPr="004A4DA1" w:rsidRDefault="00C410A9" w:rsidP="004A4DA1">
      <w:pPr>
        <w:pStyle w:val="DecHCase"/>
      </w:pPr>
      <w:r w:rsidRPr="004A4DA1">
        <w:t>Requête n</w:t>
      </w:r>
      <w:r w:rsidRPr="004A4DA1">
        <w:rPr>
          <w:vertAlign w:val="superscript"/>
        </w:rPr>
        <w:t>o</w:t>
      </w:r>
      <w:r w:rsidR="006544C4" w:rsidRPr="004A4DA1">
        <w:t xml:space="preserve"> </w:t>
      </w:r>
      <w:r w:rsidRPr="004A4DA1">
        <w:t>47271/16</w:t>
      </w:r>
      <w:r w:rsidR="006544C4" w:rsidRPr="004A4DA1">
        <w:br/>
      </w:r>
      <w:r w:rsidRPr="004A4DA1">
        <w:t>Franco AMBROSIO</w:t>
      </w:r>
      <w:r w:rsidRPr="004A4DA1">
        <w:br/>
      </w:r>
      <w:r w:rsidR="006544C4" w:rsidRPr="004A4DA1">
        <w:t xml:space="preserve">contre </w:t>
      </w:r>
      <w:r w:rsidRPr="004A4DA1">
        <w:t>l</w:t>
      </w:r>
      <w:r w:rsidR="004A4DA1" w:rsidRPr="004A4DA1">
        <w:t>’</w:t>
      </w:r>
      <w:r w:rsidRPr="004A4DA1">
        <w:t>Italie</w:t>
      </w:r>
    </w:p>
    <w:p w:rsidR="00C410A9" w:rsidRPr="004A4DA1" w:rsidRDefault="00C410A9" w:rsidP="004A4DA1">
      <w:pPr>
        <w:pStyle w:val="JuPara"/>
      </w:pPr>
      <w:r w:rsidRPr="004A4DA1">
        <w:t>La Cour européenne des droits de l</w:t>
      </w:r>
      <w:r w:rsidR="004A4DA1" w:rsidRPr="004A4DA1">
        <w:t>’</w:t>
      </w:r>
      <w:r w:rsidRPr="004A4DA1">
        <w:t xml:space="preserve">homme (première section), </w:t>
      </w:r>
      <w:r w:rsidR="003B3386" w:rsidRPr="004A4DA1">
        <w:t>siégeant le 29 septembre 2020</w:t>
      </w:r>
      <w:r w:rsidRPr="004A4DA1">
        <w:t xml:space="preserve"> en un comité composé de :</w:t>
      </w:r>
    </w:p>
    <w:p w:rsidR="003B3386" w:rsidRPr="004A4DA1" w:rsidRDefault="003B3386" w:rsidP="004A4DA1">
      <w:pPr>
        <w:pStyle w:val="JuJudges"/>
        <w:rPr>
          <w:i/>
        </w:rPr>
      </w:pPr>
      <w:r w:rsidRPr="004A4DA1">
        <w:tab/>
      </w:r>
      <w:proofErr w:type="spellStart"/>
      <w:r w:rsidRPr="004A4DA1">
        <w:t>Pere</w:t>
      </w:r>
      <w:proofErr w:type="spellEnd"/>
      <w:r w:rsidRPr="004A4DA1">
        <w:t xml:space="preserve"> Pastor </w:t>
      </w:r>
      <w:proofErr w:type="spellStart"/>
      <w:r w:rsidRPr="004A4DA1">
        <w:t>Vilanova</w:t>
      </w:r>
      <w:proofErr w:type="spellEnd"/>
      <w:r w:rsidRPr="004A4DA1">
        <w:t>,</w:t>
      </w:r>
      <w:r w:rsidRPr="004A4DA1">
        <w:rPr>
          <w:i/>
        </w:rPr>
        <w:t xml:space="preserve"> président,</w:t>
      </w:r>
    </w:p>
    <w:p w:rsidR="003B3386" w:rsidRPr="004A4DA1" w:rsidRDefault="003B3386" w:rsidP="004A4DA1">
      <w:pPr>
        <w:pStyle w:val="JuJudges"/>
      </w:pPr>
      <w:r w:rsidRPr="004A4DA1">
        <w:tab/>
        <w:t xml:space="preserve">Jovan </w:t>
      </w:r>
      <w:proofErr w:type="spellStart"/>
      <w:r w:rsidRPr="004A4DA1">
        <w:t>Ilievski</w:t>
      </w:r>
      <w:proofErr w:type="spellEnd"/>
      <w:r w:rsidRPr="004A4DA1">
        <w:t>,</w:t>
      </w:r>
    </w:p>
    <w:p w:rsidR="00C410A9" w:rsidRPr="004A4DA1" w:rsidRDefault="003B3386" w:rsidP="004A4DA1">
      <w:pPr>
        <w:pStyle w:val="JuJudges"/>
        <w:rPr>
          <w:i/>
        </w:rPr>
      </w:pPr>
      <w:r w:rsidRPr="004A4DA1">
        <w:tab/>
        <w:t>Raffaele Sabato,</w:t>
      </w:r>
      <w:r w:rsidRPr="004A4DA1">
        <w:rPr>
          <w:i/>
        </w:rPr>
        <w:t xml:space="preserve"> juges,</w:t>
      </w:r>
    </w:p>
    <w:p w:rsidR="00C410A9" w:rsidRPr="004A4DA1" w:rsidRDefault="00C410A9" w:rsidP="004A4DA1">
      <w:pPr>
        <w:pStyle w:val="JuPara"/>
        <w:ind w:firstLine="0"/>
      </w:pPr>
      <w:proofErr w:type="gramStart"/>
      <w:r w:rsidRPr="004A4DA1">
        <w:t>et</w:t>
      </w:r>
      <w:proofErr w:type="gramEnd"/>
      <w:r w:rsidRPr="004A4DA1">
        <w:t xml:space="preserve"> de Renata Degener, </w:t>
      </w:r>
      <w:r w:rsidRPr="004A4DA1">
        <w:rPr>
          <w:i/>
        </w:rPr>
        <w:t>greffière adjointe</w:t>
      </w:r>
      <w:r w:rsidRPr="004A4DA1">
        <w:rPr>
          <w:i/>
          <w:iCs/>
        </w:rPr>
        <w:t xml:space="preserve"> d</w:t>
      </w:r>
      <w:r w:rsidRPr="004A4DA1">
        <w:rPr>
          <w:i/>
        </w:rPr>
        <w:t>e section,</w:t>
      </w:r>
    </w:p>
    <w:p w:rsidR="00C410A9" w:rsidRPr="004A4DA1" w:rsidRDefault="00C410A9" w:rsidP="004A4DA1">
      <w:pPr>
        <w:pStyle w:val="JuPara"/>
      </w:pPr>
      <w:r w:rsidRPr="004A4DA1">
        <w:t>Vu la requête susmentionnée introduite le 2 août 2016,</w:t>
      </w:r>
    </w:p>
    <w:p w:rsidR="00C410A9" w:rsidRPr="004A4DA1" w:rsidRDefault="00C410A9" w:rsidP="004A4DA1">
      <w:pPr>
        <w:pStyle w:val="JuPara"/>
        <w:rPr>
          <w:color w:val="000000"/>
        </w:rPr>
      </w:pPr>
      <w:r w:rsidRPr="004A4DA1">
        <w:t>Après en avoir délibéré, rend la décision suivante :</w:t>
      </w:r>
    </w:p>
    <w:p w:rsidR="00C410A9" w:rsidRPr="004A4DA1" w:rsidRDefault="00C410A9" w:rsidP="004A4DA1">
      <w:pPr>
        <w:pStyle w:val="JuHHead"/>
        <w:numPr>
          <w:ilvl w:val="0"/>
          <w:numId w:val="46"/>
        </w:numPr>
        <w:jc w:val="left"/>
      </w:pPr>
      <w:r w:rsidRPr="004A4DA1">
        <w:t>EN FAIT</w:t>
      </w:r>
    </w:p>
    <w:p w:rsidR="00C410A9" w:rsidRPr="004A4DA1" w:rsidRDefault="00C410A9" w:rsidP="004A4DA1">
      <w:pPr>
        <w:pStyle w:val="JuParaLast"/>
      </w:pPr>
      <w:r w:rsidRPr="004A4DA1">
        <w:fldChar w:fldCharType="begin"/>
      </w:r>
      <w:r w:rsidRPr="004A4DA1">
        <w:instrText xml:space="preserve"> SEQ level0 \*arabic </w:instrText>
      </w:r>
      <w:r w:rsidRPr="004A4DA1">
        <w:fldChar w:fldCharType="separate"/>
      </w:r>
      <w:r w:rsidR="004A4DA1" w:rsidRPr="004A4DA1">
        <w:rPr>
          <w:noProof/>
        </w:rPr>
        <w:t>1</w:t>
      </w:r>
      <w:r w:rsidRPr="004A4DA1">
        <w:fldChar w:fldCharType="end"/>
      </w:r>
      <w:r w:rsidRPr="004A4DA1">
        <w:t>.  Le requérant, M. Franco Ambrosio, est un ressortissant italien né en 1956 et incarcéré à la prison de Milan Opera. Il est représenté devant la Cour par M</w:t>
      </w:r>
      <w:r w:rsidRPr="004A4DA1">
        <w:rPr>
          <w:vertAlign w:val="superscript"/>
        </w:rPr>
        <w:t>e</w:t>
      </w:r>
      <w:r w:rsidRPr="004A4DA1">
        <w:t> P. F. Poli, avocat exerçant à Milan.</w:t>
      </w:r>
    </w:p>
    <w:p w:rsidR="00C410A9" w:rsidRPr="004A4DA1" w:rsidRDefault="00C410A9" w:rsidP="004A4DA1">
      <w:pPr>
        <w:pStyle w:val="JuHA"/>
        <w:numPr>
          <w:ilvl w:val="2"/>
          <w:numId w:val="46"/>
        </w:numPr>
        <w:jc w:val="left"/>
      </w:pPr>
      <w:r w:rsidRPr="004A4DA1">
        <w:t>Les circonstances de l</w:t>
      </w:r>
      <w:r w:rsidR="004A4DA1" w:rsidRPr="004A4DA1">
        <w:t>’</w:t>
      </w:r>
      <w:r w:rsidRPr="004A4DA1">
        <w:t>espèce</w:t>
      </w:r>
    </w:p>
    <w:p w:rsidR="00C410A9" w:rsidRPr="004A4DA1" w:rsidRDefault="00C410A9" w:rsidP="004A4DA1">
      <w:pPr>
        <w:pStyle w:val="JuPara"/>
      </w:pPr>
      <w:r w:rsidRPr="004A4DA1">
        <w:fldChar w:fldCharType="begin"/>
      </w:r>
      <w:r w:rsidRPr="004A4DA1">
        <w:instrText xml:space="preserve"> SEQ level0 \*arabic </w:instrText>
      </w:r>
      <w:r w:rsidRPr="004A4DA1">
        <w:fldChar w:fldCharType="separate"/>
      </w:r>
      <w:r w:rsidR="004A4DA1" w:rsidRPr="004A4DA1">
        <w:rPr>
          <w:noProof/>
        </w:rPr>
        <w:t>2</w:t>
      </w:r>
      <w:r w:rsidRPr="004A4DA1">
        <w:fldChar w:fldCharType="end"/>
      </w:r>
      <w:r w:rsidRPr="004A4DA1">
        <w:t>.  Les faits de la cause, tels qu</w:t>
      </w:r>
      <w:r w:rsidR="004A4DA1" w:rsidRPr="004A4DA1">
        <w:t>’</w:t>
      </w:r>
      <w:r w:rsidRPr="004A4DA1">
        <w:t>ils ont été exposés par le requérant, peuvent se résumer comme suit.</w:t>
      </w:r>
    </w:p>
    <w:p w:rsidR="00C410A9" w:rsidRPr="004A4DA1" w:rsidRDefault="00C410A9" w:rsidP="004A4DA1">
      <w:pPr>
        <w:pStyle w:val="JuPara"/>
      </w:pPr>
      <w:r w:rsidRPr="004A4DA1">
        <w:fldChar w:fldCharType="begin"/>
      </w:r>
      <w:r w:rsidRPr="004A4DA1">
        <w:instrText xml:space="preserve"> SEQ level0 \*arabic </w:instrText>
      </w:r>
      <w:r w:rsidRPr="004A4DA1">
        <w:fldChar w:fldCharType="separate"/>
      </w:r>
      <w:r w:rsidR="004A4DA1" w:rsidRPr="004A4DA1">
        <w:rPr>
          <w:noProof/>
        </w:rPr>
        <w:t>3</w:t>
      </w:r>
      <w:r w:rsidRPr="004A4DA1">
        <w:fldChar w:fldCharType="end"/>
      </w:r>
      <w:r w:rsidRPr="004A4DA1">
        <w:t>.  Le 29 avril 1998, le requérant fut condamné à la réclusion à perpétuité par la cour d</w:t>
      </w:r>
      <w:r w:rsidR="004A4DA1" w:rsidRPr="004A4DA1">
        <w:t>’</w:t>
      </w:r>
      <w:r w:rsidRPr="004A4DA1">
        <w:t>assises de Naples. La condamnation fut confirmée par la cour d</w:t>
      </w:r>
      <w:r w:rsidR="004A4DA1" w:rsidRPr="004A4DA1">
        <w:t>’</w:t>
      </w:r>
      <w:r w:rsidRPr="004A4DA1">
        <w:t>assises d</w:t>
      </w:r>
      <w:r w:rsidR="004A4DA1" w:rsidRPr="004A4DA1">
        <w:t>’</w:t>
      </w:r>
      <w:r w:rsidRPr="004A4DA1">
        <w:t>appel de Naples le 22 novembre 1999.</w:t>
      </w:r>
    </w:p>
    <w:p w:rsidR="00C410A9" w:rsidRPr="004A4DA1" w:rsidRDefault="00C410A9" w:rsidP="004A4DA1">
      <w:pPr>
        <w:pStyle w:val="JuPara"/>
      </w:pPr>
      <w:r w:rsidRPr="004A4DA1">
        <w:fldChar w:fldCharType="begin"/>
      </w:r>
      <w:r w:rsidRPr="004A4DA1">
        <w:instrText xml:space="preserve"> SEQ level0 \*arabic </w:instrText>
      </w:r>
      <w:r w:rsidRPr="004A4DA1">
        <w:fldChar w:fldCharType="separate"/>
      </w:r>
      <w:r w:rsidR="004A4DA1" w:rsidRPr="004A4DA1">
        <w:rPr>
          <w:noProof/>
        </w:rPr>
        <w:t>4</w:t>
      </w:r>
      <w:r w:rsidRPr="004A4DA1">
        <w:fldChar w:fldCharType="end"/>
      </w:r>
      <w:r w:rsidRPr="004A4DA1">
        <w:t>.  Le requérant forma pourvoi en cassation en alléguant, entre autre, avoir droit à la réduction de sa peine à trente ans de réclusion, conformément à l</w:t>
      </w:r>
      <w:r w:rsidR="004A4DA1" w:rsidRPr="004A4DA1">
        <w:t>’</w:t>
      </w:r>
      <w:r w:rsidRPr="004A4DA1">
        <w:t>article 442 du Code de Procédure Pénale (« CPP »), tel que modifié par la loi n</w:t>
      </w:r>
      <w:r w:rsidRPr="004A4DA1">
        <w:rPr>
          <w:vertAlign w:val="superscript"/>
        </w:rPr>
        <w:t>o</w:t>
      </w:r>
      <w:r w:rsidRPr="004A4DA1">
        <w:t> 479 du 16</w:t>
      </w:r>
      <w:r w:rsidR="00C2215A" w:rsidRPr="004A4DA1">
        <w:t xml:space="preserve"> </w:t>
      </w:r>
      <w:r w:rsidRPr="004A4DA1">
        <w:t>décembre 1999.</w:t>
      </w:r>
    </w:p>
    <w:p w:rsidR="00C410A9" w:rsidRPr="004A4DA1" w:rsidRDefault="00C410A9" w:rsidP="004A4DA1">
      <w:pPr>
        <w:pStyle w:val="JuPara"/>
      </w:pPr>
      <w:r w:rsidRPr="004A4DA1">
        <w:fldChar w:fldCharType="begin"/>
      </w:r>
      <w:r w:rsidRPr="004A4DA1">
        <w:instrText xml:space="preserve"> SEQ level0 \*arabic </w:instrText>
      </w:r>
      <w:r w:rsidRPr="004A4DA1">
        <w:fldChar w:fldCharType="separate"/>
      </w:r>
      <w:r w:rsidR="004A4DA1" w:rsidRPr="004A4DA1">
        <w:rPr>
          <w:noProof/>
        </w:rPr>
        <w:t>5</w:t>
      </w:r>
      <w:r w:rsidRPr="004A4DA1">
        <w:fldChar w:fldCharType="end"/>
      </w:r>
      <w:r w:rsidRPr="004A4DA1">
        <w:t>.  Par un arrêt du 22 octobre 2000, déposé au greffe le 24 novembre 2000, la Cour de cassation le débouta de son pourvoi, au motif que, selon la loi n</w:t>
      </w:r>
      <w:r w:rsidRPr="004A4DA1">
        <w:rPr>
          <w:vertAlign w:val="superscript"/>
        </w:rPr>
        <w:t>o</w:t>
      </w:r>
      <w:r w:rsidRPr="004A4DA1">
        <w:t xml:space="preserve"> 144 du 5 juin 2000, seulement les accusés encourant une condamnation à perpétuité </w:t>
      </w:r>
      <w:r w:rsidRPr="004A4DA1">
        <w:rPr>
          <w:bCs/>
        </w:rPr>
        <w:t xml:space="preserve">dont les procès étaient en cours et en phase </w:t>
      </w:r>
      <w:r w:rsidRPr="004A4DA1">
        <w:rPr>
          <w:bCs/>
        </w:rPr>
        <w:lastRenderedPageBreak/>
        <w:t>d</w:t>
      </w:r>
      <w:r w:rsidR="004A4DA1" w:rsidRPr="004A4DA1">
        <w:rPr>
          <w:bCs/>
        </w:rPr>
        <w:t>’</w:t>
      </w:r>
      <w:r w:rsidRPr="004A4DA1">
        <w:rPr>
          <w:bCs/>
        </w:rPr>
        <w:t xml:space="preserve">instruction au 7 juin 2000 avaient la </w:t>
      </w:r>
      <w:r w:rsidRPr="004A4DA1">
        <w:t>possibilité d</w:t>
      </w:r>
      <w:r w:rsidR="004A4DA1" w:rsidRPr="004A4DA1">
        <w:t>’</w:t>
      </w:r>
      <w:r w:rsidRPr="004A4DA1">
        <w:t>accéder à la procédure abrégée et bénéficier de la réduction de peine en question.</w:t>
      </w:r>
    </w:p>
    <w:p w:rsidR="00C410A9" w:rsidRPr="004A4DA1" w:rsidRDefault="00C410A9" w:rsidP="004A4DA1">
      <w:pPr>
        <w:pStyle w:val="JuPara"/>
      </w:pPr>
      <w:r w:rsidRPr="004A4DA1">
        <w:fldChar w:fldCharType="begin"/>
      </w:r>
      <w:r w:rsidRPr="004A4DA1">
        <w:instrText xml:space="preserve"> SEQ level0 \*arabic </w:instrText>
      </w:r>
      <w:r w:rsidRPr="004A4DA1">
        <w:fldChar w:fldCharType="separate"/>
      </w:r>
      <w:r w:rsidR="004A4DA1" w:rsidRPr="004A4DA1">
        <w:rPr>
          <w:noProof/>
        </w:rPr>
        <w:t>6</w:t>
      </w:r>
      <w:r w:rsidRPr="004A4DA1">
        <w:fldChar w:fldCharType="end"/>
      </w:r>
      <w:r w:rsidRPr="004A4DA1">
        <w:t>.  La condamnation du requérant à la réclusion à perpétuité devint ainsi définitive le 24 novembre 2000.</w:t>
      </w:r>
    </w:p>
    <w:p w:rsidR="00C410A9" w:rsidRPr="004A4DA1" w:rsidRDefault="00C410A9" w:rsidP="004A4DA1">
      <w:pPr>
        <w:pStyle w:val="JuPara"/>
        <w:rPr>
          <w:bCs/>
        </w:rPr>
      </w:pPr>
      <w:r w:rsidRPr="004A4DA1">
        <w:fldChar w:fldCharType="begin"/>
      </w:r>
      <w:r w:rsidRPr="004A4DA1">
        <w:instrText xml:space="preserve"> SEQ level0 \*arabic </w:instrText>
      </w:r>
      <w:r w:rsidRPr="004A4DA1">
        <w:fldChar w:fldCharType="separate"/>
      </w:r>
      <w:r w:rsidR="004A4DA1" w:rsidRPr="004A4DA1">
        <w:rPr>
          <w:noProof/>
        </w:rPr>
        <w:t>7</w:t>
      </w:r>
      <w:r w:rsidRPr="004A4DA1">
        <w:fldChar w:fldCharType="end"/>
      </w:r>
      <w:r w:rsidRPr="004A4DA1">
        <w:t xml:space="preserve">.  Le même jour, </w:t>
      </w:r>
      <w:r w:rsidRPr="004A4DA1">
        <w:rPr>
          <w:bCs/>
        </w:rPr>
        <w:t>le décret-loi n</w:t>
      </w:r>
      <w:r w:rsidRPr="004A4DA1">
        <w:rPr>
          <w:rFonts w:cstheme="minorHAnsi"/>
          <w:bCs/>
          <w:vertAlign w:val="superscript"/>
        </w:rPr>
        <w:t>o</w:t>
      </w:r>
      <w:r w:rsidRPr="004A4DA1">
        <w:rPr>
          <w:bCs/>
        </w:rPr>
        <w:t xml:space="preserve"> 341 du 24 novembre 2000 </w:t>
      </w:r>
      <w:proofErr w:type="spellStart"/>
      <w:r w:rsidRPr="004A4DA1">
        <w:rPr>
          <w:bCs/>
        </w:rPr>
        <w:t>entra</w:t>
      </w:r>
      <w:proofErr w:type="spellEnd"/>
      <w:r w:rsidRPr="004A4DA1">
        <w:rPr>
          <w:bCs/>
        </w:rPr>
        <w:t xml:space="preserve"> en vigueur, donnant une interprétation authentique de l</w:t>
      </w:r>
      <w:r w:rsidR="004A4DA1" w:rsidRPr="004A4DA1">
        <w:rPr>
          <w:bCs/>
        </w:rPr>
        <w:t>’</w:t>
      </w:r>
      <w:r w:rsidRPr="004A4DA1">
        <w:rPr>
          <w:bCs/>
        </w:rPr>
        <w:t>article 442 CPP qui limitait la possibilité d</w:t>
      </w:r>
      <w:r w:rsidR="004A4DA1" w:rsidRPr="004A4DA1">
        <w:rPr>
          <w:bCs/>
        </w:rPr>
        <w:t>’</w:t>
      </w:r>
      <w:r w:rsidRPr="004A4DA1">
        <w:rPr>
          <w:bCs/>
        </w:rPr>
        <w:t>obtenir la réduction de peine à trente ans aux condamnés à perpétuité sans isolement diurne.</w:t>
      </w:r>
    </w:p>
    <w:p w:rsidR="00C410A9" w:rsidRPr="004A4DA1" w:rsidRDefault="00C410A9" w:rsidP="004A4DA1">
      <w:pPr>
        <w:pStyle w:val="JuPara"/>
      </w:pPr>
      <w:r w:rsidRPr="004A4DA1">
        <w:rPr>
          <w:bCs/>
        </w:rPr>
        <w:fldChar w:fldCharType="begin"/>
      </w:r>
      <w:r w:rsidRPr="004A4DA1">
        <w:rPr>
          <w:bCs/>
        </w:rPr>
        <w:instrText xml:space="preserve"> SEQ level0 \*arabic </w:instrText>
      </w:r>
      <w:r w:rsidRPr="004A4DA1">
        <w:rPr>
          <w:bCs/>
        </w:rPr>
        <w:fldChar w:fldCharType="separate"/>
      </w:r>
      <w:r w:rsidR="004A4DA1" w:rsidRPr="004A4DA1">
        <w:rPr>
          <w:bCs/>
          <w:noProof/>
        </w:rPr>
        <w:t>8</w:t>
      </w:r>
      <w:r w:rsidRPr="004A4DA1">
        <w:rPr>
          <w:bCs/>
        </w:rPr>
        <w:fldChar w:fldCharType="end"/>
      </w:r>
      <w:r w:rsidRPr="004A4DA1">
        <w:rPr>
          <w:bCs/>
        </w:rPr>
        <w:t>.  En 2009 l</w:t>
      </w:r>
      <w:r w:rsidR="004A4DA1" w:rsidRPr="004A4DA1">
        <w:rPr>
          <w:bCs/>
        </w:rPr>
        <w:t>’</w:t>
      </w:r>
      <w:r w:rsidRPr="004A4DA1">
        <w:rPr>
          <w:bCs/>
        </w:rPr>
        <w:t xml:space="preserve">arrêt </w:t>
      </w:r>
      <w:r w:rsidRPr="004A4DA1">
        <w:rPr>
          <w:rFonts w:ascii="Times New Roman" w:hAnsi="Times New Roman" w:cs="Times New Roman"/>
          <w:i/>
          <w:color w:val="000000"/>
        </w:rPr>
        <w:t>Scoppola c. Italie (n</w:t>
      </w:r>
      <w:r w:rsidRPr="004A4DA1">
        <w:rPr>
          <w:rFonts w:ascii="Times New Roman" w:hAnsi="Times New Roman" w:cs="Times New Roman"/>
          <w:i/>
          <w:color w:val="000000"/>
          <w:vertAlign w:val="superscript"/>
        </w:rPr>
        <w:t>o</w:t>
      </w:r>
      <w:r w:rsidRPr="004A4DA1">
        <w:rPr>
          <w:rFonts w:ascii="Times New Roman" w:hAnsi="Times New Roman" w:cs="Times New Roman"/>
          <w:i/>
          <w:color w:val="000000"/>
        </w:rPr>
        <w:t xml:space="preserve"> 2) </w:t>
      </w:r>
      <w:r w:rsidRPr="004A4DA1">
        <w:rPr>
          <w:rFonts w:ascii="Times New Roman" w:hAnsi="Times New Roman" w:cs="Times New Roman"/>
          <w:color w:val="000000"/>
        </w:rPr>
        <w:t>[GC] (n</w:t>
      </w:r>
      <w:r w:rsidRPr="004A4DA1">
        <w:rPr>
          <w:rFonts w:ascii="Times New Roman" w:hAnsi="Times New Roman" w:cs="Times New Roman"/>
          <w:color w:val="000000"/>
          <w:vertAlign w:val="superscript"/>
        </w:rPr>
        <w:t>o</w:t>
      </w:r>
      <w:r w:rsidRPr="004A4DA1">
        <w:rPr>
          <w:rFonts w:ascii="Times New Roman" w:hAnsi="Times New Roman" w:cs="Times New Roman"/>
          <w:color w:val="000000"/>
        </w:rPr>
        <w:t> </w:t>
      </w:r>
      <w:r w:rsidRPr="004A4DA1">
        <w:rPr>
          <w:rFonts w:ascii="Times New Roman" w:hAnsi="Times New Roman" w:cs="Times New Roman"/>
        </w:rPr>
        <w:t>10249/03</w:t>
      </w:r>
      <w:r w:rsidRPr="004A4DA1">
        <w:rPr>
          <w:rFonts w:ascii="Times New Roman" w:hAnsi="Times New Roman" w:cs="Times New Roman"/>
          <w:color w:val="000000"/>
        </w:rPr>
        <w:t xml:space="preserve">, 17 septembre 2009) </w:t>
      </w:r>
      <w:r w:rsidRPr="004A4DA1">
        <w:t>établit la violation des articles 6 et 7 de la Convention dans le cas d</w:t>
      </w:r>
      <w:r w:rsidR="004A4DA1" w:rsidRPr="004A4DA1">
        <w:t>’</w:t>
      </w:r>
      <w:r w:rsidRPr="004A4DA1">
        <w:t xml:space="preserve">un condamné qui, ayant </w:t>
      </w:r>
      <w:r w:rsidRPr="004A4DA1">
        <w:rPr>
          <w:bCs/>
        </w:rPr>
        <w:t>été jugé en première instance selon la procédure abrégée dont à la loi n</w:t>
      </w:r>
      <w:r w:rsidRPr="004A4DA1">
        <w:rPr>
          <w:rFonts w:cstheme="minorHAnsi"/>
          <w:bCs/>
          <w:vertAlign w:val="superscript"/>
        </w:rPr>
        <w:t>o</w:t>
      </w:r>
      <w:r w:rsidRPr="004A4DA1">
        <w:rPr>
          <w:bCs/>
        </w:rPr>
        <w:t xml:space="preserve"> 479 du 16 décembre 1999</w:t>
      </w:r>
      <w:r w:rsidRPr="004A4DA1">
        <w:t>, avait été condamné à perpétuité en raison de la modification y apportée par le décret-loi n</w:t>
      </w:r>
      <w:r w:rsidRPr="004A4DA1">
        <w:rPr>
          <w:vertAlign w:val="superscript"/>
        </w:rPr>
        <w:t>o</w:t>
      </w:r>
      <w:r w:rsidRPr="004A4DA1">
        <w:t xml:space="preserve"> </w:t>
      </w:r>
      <w:r w:rsidRPr="004A4DA1">
        <w:rPr>
          <w:bCs/>
        </w:rPr>
        <w:t xml:space="preserve">341 du 24 novembre 2000. </w:t>
      </w:r>
      <w:r w:rsidRPr="004A4DA1">
        <w:t>Notamment, la Cour jugea que M. Scoppola s</w:t>
      </w:r>
      <w:r w:rsidR="004A4DA1" w:rsidRPr="004A4DA1">
        <w:t>’</w:t>
      </w:r>
      <w:r w:rsidRPr="004A4DA1">
        <w:t>était</w:t>
      </w:r>
      <w:r w:rsidR="00C2215A" w:rsidRPr="004A4DA1">
        <w:t xml:space="preserve"> vu infliger une peine plus forte </w:t>
      </w:r>
      <w:r w:rsidRPr="004A4DA1">
        <w:t>que celle prévue par la loi qui, parmi les lois qui avaient</w:t>
      </w:r>
      <w:r w:rsidR="00C2215A" w:rsidRPr="004A4DA1">
        <w:t xml:space="preserve"> été en vigueur durant </w:t>
      </w:r>
      <w:r w:rsidRPr="004A4DA1">
        <w:t>la période comprise entre la commission de l</w:t>
      </w:r>
      <w:r w:rsidR="004A4DA1" w:rsidRPr="004A4DA1">
        <w:t>’</w:t>
      </w:r>
      <w:r w:rsidRPr="004A4DA1">
        <w:t>infraction et le prononcé du jugement définitif, lui était la plus favorable (</w:t>
      </w:r>
      <w:r w:rsidRPr="004A4DA1">
        <w:rPr>
          <w:i/>
        </w:rPr>
        <w:t>Scoppola c. Italie (n</w:t>
      </w:r>
      <w:r w:rsidRPr="004A4DA1">
        <w:rPr>
          <w:i/>
          <w:vertAlign w:val="superscript"/>
        </w:rPr>
        <w:t>o</w:t>
      </w:r>
      <w:r w:rsidRPr="004A4DA1">
        <w:rPr>
          <w:i/>
        </w:rPr>
        <w:t xml:space="preserve"> 2)</w:t>
      </w:r>
      <w:r w:rsidRPr="004A4DA1">
        <w:t xml:space="preserve"> </w:t>
      </w:r>
      <w:r w:rsidRPr="004A4DA1">
        <w:rPr>
          <w:rFonts w:cstheme="minorHAnsi"/>
        </w:rPr>
        <w:t>§</w:t>
      </w:r>
      <w:r w:rsidRPr="004A4DA1">
        <w:t xml:space="preserve"> 119), et que son attente légitime à encourir en une peine maximale de trente ans de réclusion, en raison de l</w:t>
      </w:r>
      <w:r w:rsidR="004A4DA1" w:rsidRPr="004A4DA1">
        <w:t>’</w:t>
      </w:r>
      <w:r w:rsidRPr="004A4DA1">
        <w:t>adoption de la procédure abrégée, avait été déçue par des facteurs échappant à son contrôle (</w:t>
      </w:r>
      <w:r w:rsidRPr="004A4DA1">
        <w:rPr>
          <w:i/>
        </w:rPr>
        <w:t>Scoppola</w:t>
      </w:r>
      <w:r w:rsidRPr="004A4DA1">
        <w:t xml:space="preserve">, précité, </w:t>
      </w:r>
      <w:r w:rsidRPr="004A4DA1">
        <w:rPr>
          <w:rFonts w:cstheme="minorHAnsi"/>
        </w:rPr>
        <w:t>§</w:t>
      </w:r>
      <w:r w:rsidRPr="004A4DA1">
        <w:t xml:space="preserve"> 144).</w:t>
      </w:r>
    </w:p>
    <w:p w:rsidR="00C410A9" w:rsidRPr="004A4DA1" w:rsidRDefault="00C410A9" w:rsidP="004A4DA1">
      <w:pPr>
        <w:pStyle w:val="JuPara"/>
      </w:pPr>
      <w:r w:rsidRPr="004A4DA1">
        <w:fldChar w:fldCharType="begin"/>
      </w:r>
      <w:r w:rsidRPr="004A4DA1">
        <w:instrText xml:space="preserve"> SEQ level0 \*arabic </w:instrText>
      </w:r>
      <w:r w:rsidRPr="004A4DA1">
        <w:fldChar w:fldCharType="separate"/>
      </w:r>
      <w:r w:rsidR="004A4DA1" w:rsidRPr="004A4DA1">
        <w:rPr>
          <w:noProof/>
        </w:rPr>
        <w:t>9</w:t>
      </w:r>
      <w:r w:rsidRPr="004A4DA1">
        <w:fldChar w:fldCharType="end"/>
      </w:r>
      <w:r w:rsidRPr="004A4DA1">
        <w:t>.  Le 2 janvier 2014, le requérant introduisit devant à la cour d</w:t>
      </w:r>
      <w:r w:rsidR="004A4DA1" w:rsidRPr="004A4DA1">
        <w:t>’</w:t>
      </w:r>
      <w:r w:rsidRPr="004A4DA1">
        <w:t>appel de Naples, en tant que juge de l</w:t>
      </w:r>
      <w:r w:rsidR="004A4DA1" w:rsidRPr="004A4DA1">
        <w:t>’</w:t>
      </w:r>
      <w:r w:rsidRPr="004A4DA1">
        <w:t>exécution, une demande visant à obtenir une nouvelle détermination de la peine conformément aux principes affirmés par la Cour dans l</w:t>
      </w:r>
      <w:r w:rsidR="004A4DA1" w:rsidRPr="004A4DA1">
        <w:t>’</w:t>
      </w:r>
      <w:r w:rsidRPr="004A4DA1">
        <w:t xml:space="preserve">arrêt </w:t>
      </w:r>
      <w:r w:rsidRPr="004A4DA1">
        <w:rPr>
          <w:i/>
        </w:rPr>
        <w:t xml:space="preserve">Scoppola c. Italie </w:t>
      </w:r>
      <w:r w:rsidRPr="004A4DA1">
        <w:t>(n</w:t>
      </w:r>
      <w:r w:rsidRPr="004A4DA1">
        <w:rPr>
          <w:vertAlign w:val="superscript"/>
        </w:rPr>
        <w:t>o</w:t>
      </w:r>
      <w:r w:rsidRPr="004A4DA1">
        <w:t xml:space="preserve"> 2).</w:t>
      </w:r>
    </w:p>
    <w:p w:rsidR="00C410A9" w:rsidRPr="004A4DA1" w:rsidRDefault="00C410A9" w:rsidP="004A4DA1">
      <w:pPr>
        <w:pStyle w:val="JuPara"/>
      </w:pPr>
      <w:r w:rsidRPr="004A4DA1">
        <w:fldChar w:fldCharType="begin"/>
      </w:r>
      <w:r w:rsidRPr="004A4DA1">
        <w:instrText xml:space="preserve"> SEQ level0 \*arabic </w:instrText>
      </w:r>
      <w:r w:rsidRPr="004A4DA1">
        <w:fldChar w:fldCharType="separate"/>
      </w:r>
      <w:r w:rsidR="004A4DA1" w:rsidRPr="004A4DA1">
        <w:rPr>
          <w:noProof/>
        </w:rPr>
        <w:t>10</w:t>
      </w:r>
      <w:r w:rsidRPr="004A4DA1">
        <w:fldChar w:fldCharType="end"/>
      </w:r>
      <w:r w:rsidRPr="004A4DA1">
        <w:t>.  Le 18 novembre 2014, la cour d</w:t>
      </w:r>
      <w:r w:rsidR="004A4DA1" w:rsidRPr="004A4DA1">
        <w:t>’</w:t>
      </w:r>
      <w:r w:rsidRPr="004A4DA1">
        <w:t>appel de Naples rejeta la demande au motif que les « principes de l</w:t>
      </w:r>
      <w:r w:rsidR="004A4DA1" w:rsidRPr="004A4DA1">
        <w:t>’</w:t>
      </w:r>
      <w:r w:rsidRPr="004A4DA1">
        <w:t xml:space="preserve">arrêt </w:t>
      </w:r>
      <w:r w:rsidRPr="004A4DA1">
        <w:rPr>
          <w:i/>
        </w:rPr>
        <w:t>Scoppola </w:t>
      </w:r>
      <w:r w:rsidRPr="004A4DA1">
        <w:t>»</w:t>
      </w:r>
      <w:r w:rsidRPr="004A4DA1">
        <w:rPr>
          <w:i/>
        </w:rPr>
        <w:t xml:space="preserve"> </w:t>
      </w:r>
      <w:r w:rsidRPr="004A4DA1">
        <w:t>n</w:t>
      </w:r>
      <w:r w:rsidR="004A4DA1" w:rsidRPr="004A4DA1">
        <w:t>’</w:t>
      </w:r>
      <w:r w:rsidRPr="004A4DA1">
        <w:t>étaient pas applicables, notamment parce-que le requérant n</w:t>
      </w:r>
      <w:r w:rsidR="004A4DA1" w:rsidRPr="004A4DA1">
        <w:t>’</w:t>
      </w:r>
      <w:r w:rsidRPr="004A4DA1">
        <w:t>avait pas été jugé selon la procédure abrégée et avait présenté sa demande tardivement.</w:t>
      </w:r>
    </w:p>
    <w:p w:rsidR="00C410A9" w:rsidRPr="004A4DA1" w:rsidRDefault="00C410A9" w:rsidP="004A4DA1">
      <w:pPr>
        <w:pStyle w:val="JuPara"/>
      </w:pPr>
      <w:r w:rsidRPr="004A4DA1">
        <w:fldChar w:fldCharType="begin"/>
      </w:r>
      <w:r w:rsidRPr="004A4DA1">
        <w:instrText xml:space="preserve"> SEQ level0 \*arabic </w:instrText>
      </w:r>
      <w:r w:rsidRPr="004A4DA1">
        <w:fldChar w:fldCharType="separate"/>
      </w:r>
      <w:r w:rsidR="004A4DA1" w:rsidRPr="004A4DA1">
        <w:rPr>
          <w:noProof/>
        </w:rPr>
        <w:t>11</w:t>
      </w:r>
      <w:r w:rsidRPr="004A4DA1">
        <w:fldChar w:fldCharType="end"/>
      </w:r>
      <w:r w:rsidRPr="004A4DA1">
        <w:t>.  Par un arrêt du 20 octobre 2015, déposé au greffe le 9 février 2016, la Cour de cassation confirma la décision de la cour d</w:t>
      </w:r>
      <w:r w:rsidR="004A4DA1" w:rsidRPr="004A4DA1">
        <w:t>’</w:t>
      </w:r>
      <w:r w:rsidRPr="004A4DA1">
        <w:t>appel, en se référant à l</w:t>
      </w:r>
      <w:r w:rsidR="004A4DA1" w:rsidRPr="004A4DA1">
        <w:t>’</w:t>
      </w:r>
      <w:r w:rsidRPr="004A4DA1">
        <w:t>ordonnance de la Cour constitutionnelle n</w:t>
      </w:r>
      <w:r w:rsidRPr="004A4DA1">
        <w:rPr>
          <w:vertAlign w:val="superscript"/>
        </w:rPr>
        <w:t>o</w:t>
      </w:r>
      <w:r w:rsidRPr="004A4DA1">
        <w:t xml:space="preserve"> 235 du 16 juillet 2013 ainsi qu</w:t>
      </w:r>
      <w:r w:rsidR="004A4DA1" w:rsidRPr="004A4DA1">
        <w:t>’</w:t>
      </w:r>
      <w:r w:rsidRPr="004A4DA1">
        <w:t>à l</w:t>
      </w:r>
      <w:r w:rsidR="004A4DA1" w:rsidRPr="004A4DA1">
        <w:t>’</w:t>
      </w:r>
      <w:r w:rsidRPr="004A4DA1">
        <w:t>arrêt des Sections Unies de la Cour de cassation n</w:t>
      </w:r>
      <w:r w:rsidRPr="004A4DA1">
        <w:rPr>
          <w:vertAlign w:val="superscript"/>
        </w:rPr>
        <w:t>o</w:t>
      </w:r>
      <w:r w:rsidRPr="004A4DA1">
        <w:t xml:space="preserve"> 34233 du 19 avril 2012, établissant l</w:t>
      </w:r>
      <w:r w:rsidR="004A4DA1" w:rsidRPr="004A4DA1">
        <w:t>’</w:t>
      </w:r>
      <w:r w:rsidRPr="004A4DA1">
        <w:t>inapplicabilité des « principes de l</w:t>
      </w:r>
      <w:r w:rsidR="004A4DA1" w:rsidRPr="004A4DA1">
        <w:t>’</w:t>
      </w:r>
      <w:r w:rsidRPr="004A4DA1">
        <w:t xml:space="preserve">arrêt </w:t>
      </w:r>
      <w:r w:rsidRPr="004A4DA1">
        <w:rPr>
          <w:i/>
        </w:rPr>
        <w:t xml:space="preserve">Scoppola » </w:t>
      </w:r>
      <w:r w:rsidRPr="004A4DA1">
        <w:t>aux accusés qui n</w:t>
      </w:r>
      <w:r w:rsidR="004A4DA1" w:rsidRPr="004A4DA1">
        <w:t>’</w:t>
      </w:r>
      <w:r w:rsidRPr="004A4DA1">
        <w:t>avaient pas pu avoir accès à la procédure abrégée en raison de la phase dans laquelle se trouvait la procédure menée à leur encontre lors de l</w:t>
      </w:r>
      <w:r w:rsidR="004A4DA1" w:rsidRPr="004A4DA1">
        <w:t>’</w:t>
      </w:r>
      <w:r w:rsidRPr="004A4DA1">
        <w:t>entrée en vigueur de la loi n</w:t>
      </w:r>
      <w:r w:rsidRPr="004A4DA1">
        <w:rPr>
          <w:vertAlign w:val="superscript"/>
        </w:rPr>
        <w:t>o</w:t>
      </w:r>
      <w:r w:rsidRPr="004A4DA1">
        <w:t xml:space="preserve"> 479 du 16 décembre 1999</w:t>
      </w:r>
      <w:r w:rsidRPr="004A4DA1">
        <w:rPr>
          <w:bCs/>
        </w:rPr>
        <w:t>.</w:t>
      </w:r>
    </w:p>
    <w:p w:rsidR="00C410A9" w:rsidRPr="004A4DA1" w:rsidRDefault="00C410A9" w:rsidP="004A4DA1">
      <w:pPr>
        <w:pStyle w:val="JuHA"/>
        <w:numPr>
          <w:ilvl w:val="2"/>
          <w:numId w:val="46"/>
        </w:numPr>
        <w:jc w:val="left"/>
      </w:pPr>
      <w:r w:rsidRPr="004A4DA1">
        <w:t>Le droit et la pratique internes pertinents</w:t>
      </w:r>
    </w:p>
    <w:p w:rsidR="00C410A9" w:rsidRPr="004A4DA1" w:rsidRDefault="00C410A9" w:rsidP="004A4DA1">
      <w:pPr>
        <w:pStyle w:val="JuPara"/>
      </w:pPr>
      <w:r w:rsidRPr="004A4DA1">
        <w:fldChar w:fldCharType="begin"/>
      </w:r>
      <w:r w:rsidRPr="004A4DA1">
        <w:instrText xml:space="preserve"> SEQ level0 \*arabic </w:instrText>
      </w:r>
      <w:r w:rsidRPr="004A4DA1">
        <w:fldChar w:fldCharType="separate"/>
      </w:r>
      <w:r w:rsidR="004A4DA1" w:rsidRPr="004A4DA1">
        <w:rPr>
          <w:noProof/>
        </w:rPr>
        <w:t>12</w:t>
      </w:r>
      <w:r w:rsidRPr="004A4DA1">
        <w:fldChar w:fldCharType="end"/>
      </w:r>
      <w:r w:rsidRPr="004A4DA1">
        <w:t xml:space="preserve">.  La procédure abrégée, régie par les articles 438 et 441 à 443 du CPP est une démarche simplifiée entrainant, en cas de condamnation, une réduction de peine. Ses caractéristiques principales sont décrites dans </w:t>
      </w:r>
      <w:r w:rsidRPr="004A4DA1">
        <w:lastRenderedPageBreak/>
        <w:t>l</w:t>
      </w:r>
      <w:r w:rsidR="004A4DA1" w:rsidRPr="004A4DA1">
        <w:t>’</w:t>
      </w:r>
      <w:r w:rsidRPr="004A4DA1">
        <w:t>arrêt </w:t>
      </w:r>
      <w:r w:rsidRPr="004A4DA1">
        <w:rPr>
          <w:i/>
          <w:iCs/>
        </w:rPr>
        <w:t>Scoppola c. Italie (n</w:t>
      </w:r>
      <w:r w:rsidRPr="004A4DA1">
        <w:rPr>
          <w:i/>
          <w:iCs/>
          <w:vertAlign w:val="superscript"/>
        </w:rPr>
        <w:t>o</w:t>
      </w:r>
      <w:r w:rsidRPr="004A4DA1">
        <w:rPr>
          <w:i/>
          <w:iCs/>
        </w:rPr>
        <w:t xml:space="preserve"> 2) </w:t>
      </w:r>
      <w:r w:rsidRPr="004A4DA1">
        <w:t>[GC] (</w:t>
      </w:r>
      <w:r w:rsidRPr="004A4DA1">
        <w:rPr>
          <w:iCs/>
        </w:rPr>
        <w:t>n</w:t>
      </w:r>
      <w:r w:rsidRPr="004A4DA1">
        <w:rPr>
          <w:iCs/>
          <w:vertAlign w:val="superscript"/>
        </w:rPr>
        <w:t>o</w:t>
      </w:r>
      <w:r w:rsidRPr="004A4DA1">
        <w:t> 10249/03, §§ 27-28 et 134, 17 septembre 2009).</w:t>
      </w:r>
    </w:p>
    <w:p w:rsidR="00C410A9" w:rsidRPr="004A4DA1" w:rsidRDefault="00C410A9" w:rsidP="004A4DA1">
      <w:pPr>
        <w:pStyle w:val="JuPara"/>
      </w:pPr>
      <w:r w:rsidRPr="004A4DA1">
        <w:fldChar w:fldCharType="begin"/>
      </w:r>
      <w:r w:rsidRPr="004A4DA1">
        <w:instrText xml:space="preserve"> SEQ level0 \*arabic </w:instrText>
      </w:r>
      <w:r w:rsidRPr="004A4DA1">
        <w:fldChar w:fldCharType="separate"/>
      </w:r>
      <w:r w:rsidR="004A4DA1" w:rsidRPr="004A4DA1">
        <w:rPr>
          <w:noProof/>
        </w:rPr>
        <w:t>13</w:t>
      </w:r>
      <w:r w:rsidRPr="004A4DA1">
        <w:fldChar w:fldCharType="end"/>
      </w:r>
      <w:r w:rsidRPr="004A4DA1">
        <w:t>.  À l</w:t>
      </w:r>
      <w:r w:rsidR="004A4DA1" w:rsidRPr="004A4DA1">
        <w:t>’</w:t>
      </w:r>
      <w:r w:rsidRPr="004A4DA1">
        <w:t>entrée en vigueur du CPP (24 octobre 1989), la réduction de peine prévue pour les crimes qui appellent la réclusion criminelle à perpétuité était la peine d</w:t>
      </w:r>
      <w:r w:rsidR="004A4DA1" w:rsidRPr="004A4DA1">
        <w:t>’</w:t>
      </w:r>
      <w:r w:rsidRPr="004A4DA1">
        <w:t>emprisonnement de trente ans. Par l</w:t>
      </w:r>
      <w:r w:rsidR="004A4DA1" w:rsidRPr="004A4DA1">
        <w:t>’</w:t>
      </w:r>
      <w:r w:rsidRPr="004A4DA1">
        <w:t>arrêt n</w:t>
      </w:r>
      <w:r w:rsidRPr="004A4DA1">
        <w:rPr>
          <w:vertAlign w:val="superscript"/>
        </w:rPr>
        <w:t>o</w:t>
      </w:r>
      <w:r w:rsidRPr="004A4DA1">
        <w:t> 176 du 23 avril 1991, la Cour constitutionnelle avait annulé la disposition du CPP prévoyant cette possibilité</w:t>
      </w:r>
      <w:r w:rsidRPr="004A4DA1">
        <w:rPr>
          <w:b/>
          <w:bCs/>
        </w:rPr>
        <w:t xml:space="preserve">, </w:t>
      </w:r>
      <w:r w:rsidRPr="004A4DA1">
        <w:t>car celle-ci allait au-delà de la délégation de pouvoirs que le Parlement avait donnée au Gouvernement pour l</w:t>
      </w:r>
      <w:r w:rsidR="004A4DA1" w:rsidRPr="004A4DA1">
        <w:t>’</w:t>
      </w:r>
      <w:r w:rsidRPr="004A4DA1">
        <w:t>adoption du nouveau CPP.</w:t>
      </w:r>
    </w:p>
    <w:p w:rsidR="00C410A9" w:rsidRPr="004A4DA1" w:rsidRDefault="00C410A9" w:rsidP="004A4DA1">
      <w:pPr>
        <w:pStyle w:val="JuPara"/>
      </w:pPr>
      <w:r w:rsidRPr="004A4DA1">
        <w:fldChar w:fldCharType="begin"/>
      </w:r>
      <w:r w:rsidRPr="004A4DA1">
        <w:instrText xml:space="preserve"> SEQ level0 \*arabic </w:instrText>
      </w:r>
      <w:r w:rsidRPr="004A4DA1">
        <w:fldChar w:fldCharType="separate"/>
      </w:r>
      <w:r w:rsidR="004A4DA1" w:rsidRPr="004A4DA1">
        <w:rPr>
          <w:noProof/>
        </w:rPr>
        <w:t>14</w:t>
      </w:r>
      <w:r w:rsidRPr="004A4DA1">
        <w:fldChar w:fldCharType="end"/>
      </w:r>
      <w:r w:rsidRPr="004A4DA1">
        <w:t>.  La loi n</w:t>
      </w:r>
      <w:r w:rsidRPr="004A4DA1">
        <w:rPr>
          <w:rFonts w:cstheme="minorHAnsi"/>
          <w:bCs/>
          <w:vertAlign w:val="superscript"/>
        </w:rPr>
        <w:t>o</w:t>
      </w:r>
      <w:r w:rsidRPr="004A4DA1">
        <w:rPr>
          <w:bCs/>
        </w:rPr>
        <w:t xml:space="preserve"> 479 du 16 décembre 1999</w:t>
      </w:r>
      <w:r w:rsidRPr="004A4DA1">
        <w:t>, entrée en vigueur le 2</w:t>
      </w:r>
      <w:r w:rsidR="00C2215A" w:rsidRPr="004A4DA1">
        <w:t> </w:t>
      </w:r>
      <w:r w:rsidRPr="004A4DA1">
        <w:t>janvier 2000, réintroduisit cette possibilité, en ajoutant au paragraphe 2 de l</w:t>
      </w:r>
      <w:r w:rsidR="004A4DA1" w:rsidRPr="004A4DA1">
        <w:t>’</w:t>
      </w:r>
      <w:r w:rsidRPr="004A4DA1">
        <w:t>article 442 CPP une deuxième phrase, selon laquelle, en cas d</w:t>
      </w:r>
      <w:r w:rsidR="004A4DA1" w:rsidRPr="004A4DA1">
        <w:t>’</w:t>
      </w:r>
      <w:r w:rsidRPr="004A4DA1">
        <w:t>accès à la procédure abrégée, « [l]</w:t>
      </w:r>
      <w:r w:rsidRPr="004A4DA1">
        <w:rPr>
          <w:i/>
        </w:rPr>
        <w:t>a réclusion à perpétuité est remplacée par un emprisonnement de trente ans.</w:t>
      </w:r>
      <w:r w:rsidRPr="004A4DA1">
        <w:t> »</w:t>
      </w:r>
    </w:p>
    <w:p w:rsidR="00C410A9" w:rsidRPr="004A4DA1" w:rsidRDefault="00C410A9" w:rsidP="004A4DA1">
      <w:pPr>
        <w:pStyle w:val="JuPara"/>
        <w:rPr>
          <w:bCs/>
        </w:rPr>
      </w:pPr>
      <w:r w:rsidRPr="004A4DA1">
        <w:fldChar w:fldCharType="begin"/>
      </w:r>
      <w:r w:rsidRPr="004A4DA1">
        <w:instrText xml:space="preserve"> SEQ level0 \*arabic </w:instrText>
      </w:r>
      <w:r w:rsidRPr="004A4DA1">
        <w:fldChar w:fldCharType="separate"/>
      </w:r>
      <w:r w:rsidR="004A4DA1" w:rsidRPr="004A4DA1">
        <w:rPr>
          <w:noProof/>
        </w:rPr>
        <w:t>15</w:t>
      </w:r>
      <w:r w:rsidRPr="004A4DA1">
        <w:fldChar w:fldCharType="end"/>
      </w:r>
      <w:r w:rsidRPr="004A4DA1">
        <w:t xml:space="preserve">.  La </w:t>
      </w:r>
      <w:r w:rsidRPr="004A4DA1">
        <w:rPr>
          <w:bCs/>
        </w:rPr>
        <w:t>loi n</w:t>
      </w:r>
      <w:r w:rsidRPr="004A4DA1">
        <w:rPr>
          <w:rFonts w:cstheme="minorHAnsi"/>
          <w:bCs/>
          <w:vertAlign w:val="superscript"/>
        </w:rPr>
        <w:t>o</w:t>
      </w:r>
      <w:r w:rsidRPr="004A4DA1">
        <w:rPr>
          <w:rFonts w:cstheme="minorHAnsi"/>
          <w:bCs/>
        </w:rPr>
        <w:t xml:space="preserve"> </w:t>
      </w:r>
      <w:r w:rsidRPr="004A4DA1">
        <w:rPr>
          <w:bCs/>
        </w:rPr>
        <w:t>144 du 5 juin 2000, entrée en vigueur le 8 juin 2000, établit, à l</w:t>
      </w:r>
      <w:r w:rsidR="004A4DA1" w:rsidRPr="004A4DA1">
        <w:rPr>
          <w:bCs/>
        </w:rPr>
        <w:t>’</w:t>
      </w:r>
      <w:r w:rsidRPr="004A4DA1">
        <w:rPr>
          <w:bCs/>
        </w:rPr>
        <w:t>article 4-</w:t>
      </w:r>
      <w:r w:rsidRPr="004A4DA1">
        <w:rPr>
          <w:bCs/>
          <w:i/>
        </w:rPr>
        <w:t>ter</w:t>
      </w:r>
      <w:r w:rsidRPr="004A4DA1">
        <w:rPr>
          <w:bCs/>
        </w:rPr>
        <w:t>, que cette possibilité était ouverte seulement aux accusés dont les procès étaient en cours et en phase d</w:t>
      </w:r>
      <w:r w:rsidR="004A4DA1" w:rsidRPr="004A4DA1">
        <w:rPr>
          <w:bCs/>
        </w:rPr>
        <w:t>’</w:t>
      </w:r>
      <w:r w:rsidRPr="004A4DA1">
        <w:rPr>
          <w:bCs/>
        </w:rPr>
        <w:t>instruction au 7 juin 2000.</w:t>
      </w:r>
    </w:p>
    <w:p w:rsidR="00C410A9" w:rsidRPr="004A4DA1" w:rsidRDefault="00C410A9" w:rsidP="004A4DA1">
      <w:pPr>
        <w:pStyle w:val="JuPara"/>
        <w:rPr>
          <w:bCs/>
        </w:rPr>
      </w:pPr>
      <w:r w:rsidRPr="004A4DA1">
        <w:rPr>
          <w:bCs/>
        </w:rPr>
        <w:fldChar w:fldCharType="begin"/>
      </w:r>
      <w:r w:rsidRPr="004A4DA1">
        <w:rPr>
          <w:bCs/>
        </w:rPr>
        <w:instrText xml:space="preserve"> SEQ level0 \*arabic </w:instrText>
      </w:r>
      <w:r w:rsidRPr="004A4DA1">
        <w:rPr>
          <w:bCs/>
        </w:rPr>
        <w:fldChar w:fldCharType="separate"/>
      </w:r>
      <w:r w:rsidR="004A4DA1" w:rsidRPr="004A4DA1">
        <w:rPr>
          <w:bCs/>
          <w:noProof/>
        </w:rPr>
        <w:t>16</w:t>
      </w:r>
      <w:r w:rsidRPr="004A4DA1">
        <w:rPr>
          <w:bCs/>
        </w:rPr>
        <w:fldChar w:fldCharType="end"/>
      </w:r>
      <w:r w:rsidRPr="004A4DA1">
        <w:rPr>
          <w:bCs/>
        </w:rPr>
        <w:t>.  Le décret-loi n</w:t>
      </w:r>
      <w:r w:rsidRPr="004A4DA1">
        <w:rPr>
          <w:rFonts w:cstheme="minorHAnsi"/>
          <w:bCs/>
          <w:vertAlign w:val="superscript"/>
        </w:rPr>
        <w:t>o</w:t>
      </w:r>
      <w:r w:rsidRPr="004A4DA1">
        <w:rPr>
          <w:bCs/>
        </w:rPr>
        <w:t> 341 du 24 novembre 2000, entré en vigueur le même jour et converti en la loi n</w:t>
      </w:r>
      <w:r w:rsidRPr="004A4DA1">
        <w:rPr>
          <w:rFonts w:cstheme="minorHAnsi"/>
          <w:bCs/>
          <w:vertAlign w:val="superscript"/>
        </w:rPr>
        <w:t>o</w:t>
      </w:r>
      <w:r w:rsidRPr="004A4DA1">
        <w:rPr>
          <w:bCs/>
        </w:rPr>
        <w:t> 4 du 19 janvier 2001, donna une interprétation authentique de la deuxième phrase du paragraphe 2 de l</w:t>
      </w:r>
      <w:r w:rsidR="004A4DA1" w:rsidRPr="004A4DA1">
        <w:rPr>
          <w:bCs/>
        </w:rPr>
        <w:t>’</w:t>
      </w:r>
      <w:r w:rsidRPr="004A4DA1">
        <w:rPr>
          <w:bCs/>
        </w:rPr>
        <w:t>article 442 CPP. Il établit que « peine de réclusion à perpétuité » devait être interprétée comme faisant référence à la réclusion à perpétuité sans isolement diurne.</w:t>
      </w:r>
    </w:p>
    <w:p w:rsidR="00C410A9" w:rsidRPr="004A4DA1" w:rsidRDefault="00C410A9" w:rsidP="004A4DA1">
      <w:pPr>
        <w:pStyle w:val="JuPara"/>
        <w:rPr>
          <w:iCs/>
        </w:rPr>
      </w:pPr>
      <w:r w:rsidRPr="004A4DA1">
        <w:rPr>
          <w:bCs/>
        </w:rPr>
        <w:fldChar w:fldCharType="begin"/>
      </w:r>
      <w:r w:rsidRPr="004A4DA1">
        <w:rPr>
          <w:bCs/>
        </w:rPr>
        <w:instrText xml:space="preserve"> SEQ level0 \*arabic </w:instrText>
      </w:r>
      <w:r w:rsidRPr="004A4DA1">
        <w:rPr>
          <w:bCs/>
        </w:rPr>
        <w:fldChar w:fldCharType="separate"/>
      </w:r>
      <w:r w:rsidR="004A4DA1" w:rsidRPr="004A4DA1">
        <w:rPr>
          <w:bCs/>
          <w:noProof/>
        </w:rPr>
        <w:t>17</w:t>
      </w:r>
      <w:r w:rsidRPr="004A4DA1">
        <w:rPr>
          <w:bCs/>
        </w:rPr>
        <w:fldChar w:fldCharType="end"/>
      </w:r>
      <w:r w:rsidRPr="004A4DA1">
        <w:rPr>
          <w:bCs/>
        </w:rPr>
        <w:t>.  L</w:t>
      </w:r>
      <w:r w:rsidR="004A4DA1" w:rsidRPr="004A4DA1">
        <w:rPr>
          <w:bCs/>
        </w:rPr>
        <w:t>’</w:t>
      </w:r>
      <w:r w:rsidRPr="004A4DA1">
        <w:rPr>
          <w:bCs/>
        </w:rPr>
        <w:t>application de cette interprétation par la cour d</w:t>
      </w:r>
      <w:r w:rsidR="004A4DA1" w:rsidRPr="004A4DA1">
        <w:rPr>
          <w:bCs/>
        </w:rPr>
        <w:t>’</w:t>
      </w:r>
      <w:r w:rsidRPr="004A4DA1">
        <w:rPr>
          <w:bCs/>
        </w:rPr>
        <w:t>appel à un requérant qui avait été jugé en première instance selon la procédure abrégée fonda le constat de violation des articles 6 et 7 de la Convention dans l</w:t>
      </w:r>
      <w:r w:rsidR="004A4DA1" w:rsidRPr="004A4DA1">
        <w:rPr>
          <w:bCs/>
        </w:rPr>
        <w:t>’</w:t>
      </w:r>
      <w:r w:rsidRPr="004A4DA1">
        <w:rPr>
          <w:bCs/>
        </w:rPr>
        <w:t xml:space="preserve">arrêt </w:t>
      </w:r>
      <w:r w:rsidRPr="004A4DA1">
        <w:rPr>
          <w:i/>
          <w:iCs/>
        </w:rPr>
        <w:t>Scoppola c. Italie (n</w:t>
      </w:r>
      <w:r w:rsidRPr="004A4DA1">
        <w:rPr>
          <w:i/>
          <w:iCs/>
          <w:vertAlign w:val="superscript"/>
        </w:rPr>
        <w:t>o</w:t>
      </w:r>
      <w:r w:rsidRPr="004A4DA1">
        <w:rPr>
          <w:i/>
          <w:iCs/>
        </w:rPr>
        <w:t xml:space="preserve"> 2)</w:t>
      </w:r>
      <w:r w:rsidRPr="004A4DA1">
        <w:rPr>
          <w:iCs/>
        </w:rPr>
        <w:t>.</w:t>
      </w:r>
    </w:p>
    <w:p w:rsidR="00C410A9" w:rsidRPr="004A4DA1" w:rsidRDefault="00C410A9" w:rsidP="004A4DA1">
      <w:pPr>
        <w:pStyle w:val="JuPara"/>
        <w:rPr>
          <w:iCs/>
        </w:rPr>
      </w:pPr>
      <w:r w:rsidRPr="004A4DA1">
        <w:rPr>
          <w:iCs/>
        </w:rPr>
        <w:fldChar w:fldCharType="begin"/>
      </w:r>
      <w:r w:rsidRPr="004A4DA1">
        <w:rPr>
          <w:iCs/>
        </w:rPr>
        <w:instrText xml:space="preserve"> SEQ level0 \*arabic </w:instrText>
      </w:r>
      <w:r w:rsidRPr="004A4DA1">
        <w:rPr>
          <w:iCs/>
        </w:rPr>
        <w:fldChar w:fldCharType="separate"/>
      </w:r>
      <w:r w:rsidR="004A4DA1" w:rsidRPr="004A4DA1">
        <w:rPr>
          <w:iCs/>
          <w:noProof/>
        </w:rPr>
        <w:t>18</w:t>
      </w:r>
      <w:r w:rsidRPr="004A4DA1">
        <w:rPr>
          <w:iCs/>
        </w:rPr>
        <w:fldChar w:fldCharType="end"/>
      </w:r>
      <w:r w:rsidRPr="004A4DA1">
        <w:rPr>
          <w:iCs/>
        </w:rPr>
        <w:t>.  Il s</w:t>
      </w:r>
      <w:r w:rsidR="004A4DA1" w:rsidRPr="004A4DA1">
        <w:rPr>
          <w:iCs/>
        </w:rPr>
        <w:t>’</w:t>
      </w:r>
      <w:r w:rsidRPr="004A4DA1">
        <w:rPr>
          <w:iCs/>
        </w:rPr>
        <w:t>ensuivit la présentation de nombreuses requêtes aux juges de l</w:t>
      </w:r>
      <w:r w:rsidR="004A4DA1" w:rsidRPr="004A4DA1">
        <w:rPr>
          <w:iCs/>
        </w:rPr>
        <w:t>’</w:t>
      </w:r>
      <w:r w:rsidRPr="004A4DA1">
        <w:rPr>
          <w:iCs/>
        </w:rPr>
        <w:t>exécution par des condamnés à perpétuité dont la condamnation était définitive, qui demandaient l</w:t>
      </w:r>
      <w:r w:rsidR="004A4DA1" w:rsidRPr="004A4DA1">
        <w:rPr>
          <w:iCs/>
        </w:rPr>
        <w:t>’</w:t>
      </w:r>
      <w:r w:rsidRPr="004A4DA1">
        <w:rPr>
          <w:iCs/>
        </w:rPr>
        <w:t>application des principes de l</w:t>
      </w:r>
      <w:r w:rsidR="004A4DA1" w:rsidRPr="004A4DA1">
        <w:rPr>
          <w:iCs/>
        </w:rPr>
        <w:t>’</w:t>
      </w:r>
      <w:r w:rsidRPr="004A4DA1">
        <w:rPr>
          <w:iCs/>
        </w:rPr>
        <w:t xml:space="preserve">arrêt </w:t>
      </w:r>
      <w:r w:rsidRPr="004A4DA1">
        <w:rPr>
          <w:i/>
          <w:iCs/>
        </w:rPr>
        <w:t>Scoppola</w:t>
      </w:r>
      <w:r w:rsidRPr="004A4DA1">
        <w:rPr>
          <w:iCs/>
        </w:rPr>
        <w:t>.</w:t>
      </w:r>
    </w:p>
    <w:p w:rsidR="00C410A9" w:rsidRPr="004A4DA1" w:rsidRDefault="00C410A9" w:rsidP="004A4DA1">
      <w:pPr>
        <w:pStyle w:val="JuPara"/>
      </w:pPr>
      <w:r w:rsidRPr="004A4DA1">
        <w:fldChar w:fldCharType="begin"/>
      </w:r>
      <w:r w:rsidRPr="004A4DA1">
        <w:instrText xml:space="preserve"> SEQ level0 \*arabic </w:instrText>
      </w:r>
      <w:r w:rsidRPr="004A4DA1">
        <w:fldChar w:fldCharType="separate"/>
      </w:r>
      <w:r w:rsidR="004A4DA1" w:rsidRPr="004A4DA1">
        <w:rPr>
          <w:noProof/>
        </w:rPr>
        <w:t>19</w:t>
      </w:r>
      <w:r w:rsidRPr="004A4DA1">
        <w:fldChar w:fldCharType="end"/>
      </w:r>
      <w:r w:rsidRPr="004A4DA1">
        <w:t>.  Par arrêt n</w:t>
      </w:r>
      <w:r w:rsidRPr="004A4DA1">
        <w:rPr>
          <w:iCs/>
          <w:vertAlign w:val="superscript"/>
        </w:rPr>
        <w:t>o</w:t>
      </w:r>
      <w:r w:rsidRPr="004A4DA1">
        <w:t xml:space="preserve"> 34233 du 19 avril 2012 (</w:t>
      </w:r>
      <w:proofErr w:type="spellStart"/>
      <w:r w:rsidRPr="004A4DA1">
        <w:rPr>
          <w:i/>
        </w:rPr>
        <w:t>Giannone</w:t>
      </w:r>
      <w:proofErr w:type="spellEnd"/>
      <w:r w:rsidRPr="004A4DA1">
        <w:t>), les Sections Unies de la Cour de cassation établirent que les condamnés à perpétuité qui n</w:t>
      </w:r>
      <w:r w:rsidR="004A4DA1" w:rsidRPr="004A4DA1">
        <w:t>’</w:t>
      </w:r>
      <w:r w:rsidRPr="004A4DA1">
        <w:t>avaient pas demandé l</w:t>
      </w:r>
      <w:r w:rsidR="004A4DA1" w:rsidRPr="004A4DA1">
        <w:t>’</w:t>
      </w:r>
      <w:r w:rsidRPr="004A4DA1">
        <w:t>accès à la procédure abrégée entre le 2 janvier et le 24 novembre 2000 ne pouvaient pas obtenir l</w:t>
      </w:r>
      <w:r w:rsidR="004A4DA1" w:rsidRPr="004A4DA1">
        <w:t>’</w:t>
      </w:r>
      <w:r w:rsidRPr="004A4DA1">
        <w:t>application des principes de l</w:t>
      </w:r>
      <w:r w:rsidR="004A4DA1" w:rsidRPr="004A4DA1">
        <w:t>’</w:t>
      </w:r>
      <w:r w:rsidRPr="004A4DA1">
        <w:t xml:space="preserve">arrêt </w:t>
      </w:r>
      <w:r w:rsidRPr="004A4DA1">
        <w:rPr>
          <w:i/>
          <w:iCs/>
        </w:rPr>
        <w:t>Scoppola c. Italie (n</w:t>
      </w:r>
      <w:r w:rsidRPr="004A4DA1">
        <w:rPr>
          <w:i/>
          <w:iCs/>
          <w:vertAlign w:val="superscript"/>
        </w:rPr>
        <w:t>o</w:t>
      </w:r>
      <w:r w:rsidRPr="004A4DA1">
        <w:rPr>
          <w:i/>
          <w:iCs/>
        </w:rPr>
        <w:t xml:space="preserve"> 2) </w:t>
      </w:r>
      <w:r w:rsidRPr="004A4DA1">
        <w:rPr>
          <w:iCs/>
        </w:rPr>
        <w:t>par le biais d</w:t>
      </w:r>
      <w:r w:rsidR="004A4DA1" w:rsidRPr="004A4DA1">
        <w:rPr>
          <w:iCs/>
        </w:rPr>
        <w:t>’</w:t>
      </w:r>
      <w:r w:rsidRPr="004A4DA1">
        <w:rPr>
          <w:iCs/>
        </w:rPr>
        <w:t>une requête au juge de l</w:t>
      </w:r>
      <w:r w:rsidR="004A4DA1" w:rsidRPr="004A4DA1">
        <w:rPr>
          <w:iCs/>
        </w:rPr>
        <w:t>’</w:t>
      </w:r>
      <w:r w:rsidRPr="004A4DA1">
        <w:rPr>
          <w:iCs/>
        </w:rPr>
        <w:t xml:space="preserve">exécution, puisque ils ne se trouvaient pas dans la même </w:t>
      </w:r>
      <w:r w:rsidRPr="004A4DA1">
        <w:t>situation du requérant de ladite affaire.</w:t>
      </w:r>
    </w:p>
    <w:p w:rsidR="00C410A9" w:rsidRPr="004A4DA1" w:rsidRDefault="00C410A9" w:rsidP="004A4DA1">
      <w:pPr>
        <w:pStyle w:val="JuPara"/>
      </w:pPr>
      <w:r w:rsidRPr="004A4DA1">
        <w:fldChar w:fldCharType="begin"/>
      </w:r>
      <w:r w:rsidRPr="004A4DA1">
        <w:instrText xml:space="preserve"> SEQ level0 \*arabic </w:instrText>
      </w:r>
      <w:r w:rsidRPr="004A4DA1">
        <w:fldChar w:fldCharType="separate"/>
      </w:r>
      <w:r w:rsidR="004A4DA1" w:rsidRPr="004A4DA1">
        <w:rPr>
          <w:noProof/>
        </w:rPr>
        <w:t>20</w:t>
      </w:r>
      <w:r w:rsidRPr="004A4DA1">
        <w:fldChar w:fldCharType="end"/>
      </w:r>
      <w:r w:rsidRPr="004A4DA1">
        <w:t>.  Par ordonnance n</w:t>
      </w:r>
      <w:r w:rsidRPr="004A4DA1">
        <w:rPr>
          <w:iCs/>
          <w:vertAlign w:val="superscript"/>
        </w:rPr>
        <w:t>o</w:t>
      </w:r>
      <w:r w:rsidRPr="004A4DA1">
        <w:t xml:space="preserve"> 235 du 16 juillet 2013 (déposée au greffe le 23 juillet 2013, et publiée au Journal officiel (</w:t>
      </w:r>
      <w:proofErr w:type="spellStart"/>
      <w:r w:rsidRPr="004A4DA1">
        <w:rPr>
          <w:i/>
          <w:iCs/>
        </w:rPr>
        <w:t>Gazzetta</w:t>
      </w:r>
      <w:proofErr w:type="spellEnd"/>
      <w:r w:rsidRPr="004A4DA1">
        <w:rPr>
          <w:i/>
          <w:iCs/>
        </w:rPr>
        <w:t xml:space="preserve"> </w:t>
      </w:r>
      <w:proofErr w:type="spellStart"/>
      <w:r w:rsidRPr="004A4DA1">
        <w:rPr>
          <w:i/>
          <w:iCs/>
        </w:rPr>
        <w:t>ufficiale</w:t>
      </w:r>
      <w:proofErr w:type="spellEnd"/>
      <w:r w:rsidRPr="004A4DA1">
        <w:t>) n</w:t>
      </w:r>
      <w:r w:rsidRPr="004A4DA1">
        <w:rPr>
          <w:rFonts w:cstheme="minorHAnsi"/>
          <w:bCs/>
          <w:vertAlign w:val="superscript"/>
        </w:rPr>
        <w:t>o</w:t>
      </w:r>
      <w:r w:rsidRPr="004A4DA1">
        <w:t xml:space="preserve"> 31 du 31 juillet 2013), la Cour constitutionnelle déclara irrecevable la question de constitutionnalité de l</w:t>
      </w:r>
      <w:r w:rsidR="004A4DA1" w:rsidRPr="004A4DA1">
        <w:t>’</w:t>
      </w:r>
      <w:r w:rsidRPr="004A4DA1">
        <w:t>article 4-</w:t>
      </w:r>
      <w:r w:rsidRPr="004A4DA1">
        <w:rPr>
          <w:i/>
        </w:rPr>
        <w:t>ter</w:t>
      </w:r>
      <w:r w:rsidRPr="004A4DA1">
        <w:t xml:space="preserve"> de la loi </w:t>
      </w:r>
      <w:r w:rsidRPr="004A4DA1">
        <w:rPr>
          <w:bCs/>
        </w:rPr>
        <w:t>n</w:t>
      </w:r>
      <w:r w:rsidRPr="004A4DA1">
        <w:rPr>
          <w:rFonts w:cstheme="minorHAnsi"/>
          <w:bCs/>
          <w:vertAlign w:val="superscript"/>
        </w:rPr>
        <w:t>o</w:t>
      </w:r>
      <w:r w:rsidRPr="004A4DA1">
        <w:rPr>
          <w:rFonts w:cstheme="minorHAnsi"/>
          <w:bCs/>
        </w:rPr>
        <w:t xml:space="preserve"> </w:t>
      </w:r>
      <w:r w:rsidRPr="004A4DA1">
        <w:rPr>
          <w:bCs/>
        </w:rPr>
        <w:t>144 du 5 juin 2000 au regard des articles 117 de la Constitution et 6 et 7 de la Convention. L</w:t>
      </w:r>
      <w:r w:rsidR="004A4DA1" w:rsidRPr="004A4DA1">
        <w:rPr>
          <w:bCs/>
        </w:rPr>
        <w:t>’</w:t>
      </w:r>
      <w:r w:rsidRPr="004A4DA1">
        <w:rPr>
          <w:bCs/>
        </w:rPr>
        <w:t>affaire à l</w:t>
      </w:r>
      <w:r w:rsidR="004A4DA1" w:rsidRPr="004A4DA1">
        <w:rPr>
          <w:bCs/>
        </w:rPr>
        <w:t>’</w:t>
      </w:r>
      <w:r w:rsidRPr="004A4DA1">
        <w:rPr>
          <w:bCs/>
        </w:rPr>
        <w:t xml:space="preserve">origine de cette décision concernait un condamné </w:t>
      </w:r>
      <w:r w:rsidRPr="004A4DA1">
        <w:t xml:space="preserve">à perpétuité </w:t>
      </w:r>
      <w:r w:rsidRPr="004A4DA1">
        <w:rPr>
          <w:bCs/>
        </w:rPr>
        <w:t>qui, en vertu de ladite disposition, n</w:t>
      </w:r>
      <w:r w:rsidR="004A4DA1" w:rsidRPr="004A4DA1">
        <w:rPr>
          <w:bCs/>
        </w:rPr>
        <w:t>’</w:t>
      </w:r>
      <w:r w:rsidRPr="004A4DA1">
        <w:rPr>
          <w:bCs/>
        </w:rPr>
        <w:t xml:space="preserve">avait pas pu demander à bénéficier de la procédure abrégée </w:t>
      </w:r>
      <w:r w:rsidRPr="004A4DA1">
        <w:t xml:space="preserve">entre le 2 janvier et le 24 novembre 2000, parce que son procès se </w:t>
      </w:r>
      <w:r w:rsidRPr="004A4DA1">
        <w:lastRenderedPageBreak/>
        <w:t>déroulait à ce moment devant la Cour de cassation. La Cour constitutionnelle remarqua qu</w:t>
      </w:r>
      <w:r w:rsidR="004A4DA1" w:rsidRPr="004A4DA1">
        <w:t>’</w:t>
      </w:r>
      <w:r w:rsidRPr="004A4DA1">
        <w:t>il n</w:t>
      </w:r>
      <w:r w:rsidR="004A4DA1" w:rsidRPr="004A4DA1">
        <w:t>’</w:t>
      </w:r>
      <w:r w:rsidRPr="004A4DA1">
        <w:t>avait jamais acquis le droit à être jugé selon la procédure abrégée et ne pouvait donc pas obtenir l</w:t>
      </w:r>
      <w:r w:rsidR="004A4DA1" w:rsidRPr="004A4DA1">
        <w:t>’</w:t>
      </w:r>
      <w:r w:rsidRPr="004A4DA1">
        <w:t>application d</w:t>
      </w:r>
      <w:r w:rsidR="004A4DA1" w:rsidRPr="004A4DA1">
        <w:t>’</w:t>
      </w:r>
      <w:r w:rsidRPr="004A4DA1">
        <w:t>une peine plus douce par le biais d</w:t>
      </w:r>
      <w:r w:rsidR="004A4DA1" w:rsidRPr="004A4DA1">
        <w:t>’</w:t>
      </w:r>
      <w:r w:rsidRPr="004A4DA1">
        <w:t>une requête au juge de l</w:t>
      </w:r>
      <w:r w:rsidR="004A4DA1" w:rsidRPr="004A4DA1">
        <w:t>’</w:t>
      </w:r>
      <w:r w:rsidRPr="004A4DA1">
        <w:t>exécution.</w:t>
      </w:r>
    </w:p>
    <w:p w:rsidR="00C410A9" w:rsidRPr="004A4DA1" w:rsidRDefault="00C410A9" w:rsidP="004A4DA1">
      <w:pPr>
        <w:pStyle w:val="JuPara"/>
        <w:rPr>
          <w:iCs/>
        </w:rPr>
      </w:pPr>
      <w:r w:rsidRPr="004A4DA1">
        <w:fldChar w:fldCharType="begin"/>
      </w:r>
      <w:r w:rsidRPr="004A4DA1">
        <w:instrText xml:space="preserve"> SEQ level0 \*arabic </w:instrText>
      </w:r>
      <w:r w:rsidRPr="004A4DA1">
        <w:fldChar w:fldCharType="separate"/>
      </w:r>
      <w:r w:rsidR="004A4DA1" w:rsidRPr="004A4DA1">
        <w:rPr>
          <w:noProof/>
        </w:rPr>
        <w:t>21</w:t>
      </w:r>
      <w:r w:rsidRPr="004A4DA1">
        <w:fldChar w:fldCharType="end"/>
      </w:r>
      <w:r w:rsidRPr="004A4DA1">
        <w:t>.  Depuis ces arrêts, la jurisprudence des Cours Supérieures internes est univoque et constante quant à l</w:t>
      </w:r>
      <w:r w:rsidR="004A4DA1" w:rsidRPr="004A4DA1">
        <w:t>’</w:t>
      </w:r>
      <w:r w:rsidRPr="004A4DA1">
        <w:t>impossibilité, pour les condamnés à perpétuité qui n</w:t>
      </w:r>
      <w:r w:rsidR="004A4DA1" w:rsidRPr="004A4DA1">
        <w:t>’</w:t>
      </w:r>
      <w:r w:rsidRPr="004A4DA1">
        <w:t>ont pas eu accès à la procédure abrégée entre le 2 janvier et le 24 novembre 2000, d</w:t>
      </w:r>
      <w:r w:rsidR="004A4DA1" w:rsidRPr="004A4DA1">
        <w:t>’</w:t>
      </w:r>
      <w:r w:rsidRPr="004A4DA1">
        <w:t>obtenir l</w:t>
      </w:r>
      <w:r w:rsidR="004A4DA1" w:rsidRPr="004A4DA1">
        <w:t>’</w:t>
      </w:r>
      <w:r w:rsidRPr="004A4DA1">
        <w:t>application des principes de l</w:t>
      </w:r>
      <w:r w:rsidR="004A4DA1" w:rsidRPr="004A4DA1">
        <w:t>’</w:t>
      </w:r>
      <w:r w:rsidRPr="004A4DA1">
        <w:t xml:space="preserve">arrêt </w:t>
      </w:r>
      <w:r w:rsidRPr="004A4DA1">
        <w:rPr>
          <w:i/>
          <w:iCs/>
        </w:rPr>
        <w:t>Scoppola c. Italie (n</w:t>
      </w:r>
      <w:r w:rsidRPr="004A4DA1">
        <w:rPr>
          <w:i/>
          <w:iCs/>
          <w:vertAlign w:val="superscript"/>
        </w:rPr>
        <w:t>o</w:t>
      </w:r>
      <w:r w:rsidRPr="004A4DA1">
        <w:rPr>
          <w:i/>
          <w:iCs/>
        </w:rPr>
        <w:t xml:space="preserve"> 2) </w:t>
      </w:r>
      <w:r w:rsidRPr="004A4DA1">
        <w:rPr>
          <w:iCs/>
        </w:rPr>
        <w:t>par le biais d</w:t>
      </w:r>
      <w:r w:rsidR="004A4DA1" w:rsidRPr="004A4DA1">
        <w:rPr>
          <w:iCs/>
        </w:rPr>
        <w:t>’</w:t>
      </w:r>
      <w:r w:rsidRPr="004A4DA1">
        <w:rPr>
          <w:iCs/>
        </w:rPr>
        <w:t>une requête au juge de l</w:t>
      </w:r>
      <w:r w:rsidR="004A4DA1" w:rsidRPr="004A4DA1">
        <w:rPr>
          <w:iCs/>
        </w:rPr>
        <w:t>’</w:t>
      </w:r>
      <w:r w:rsidRPr="004A4DA1">
        <w:rPr>
          <w:iCs/>
        </w:rPr>
        <w:t>exécution.</w:t>
      </w:r>
    </w:p>
    <w:p w:rsidR="00C410A9" w:rsidRPr="004A4DA1" w:rsidRDefault="00C410A9" w:rsidP="004A4DA1">
      <w:pPr>
        <w:pStyle w:val="JuHHead"/>
        <w:numPr>
          <w:ilvl w:val="0"/>
          <w:numId w:val="46"/>
        </w:numPr>
        <w:jc w:val="left"/>
      </w:pPr>
      <w:r w:rsidRPr="004A4DA1">
        <w:t>GRIEFS</w:t>
      </w:r>
    </w:p>
    <w:p w:rsidR="00C410A9" w:rsidRPr="004A4DA1" w:rsidRDefault="00C410A9" w:rsidP="004A4DA1">
      <w:pPr>
        <w:pStyle w:val="JuPara"/>
      </w:pPr>
      <w:r w:rsidRPr="004A4DA1">
        <w:fldChar w:fldCharType="begin"/>
      </w:r>
      <w:r w:rsidRPr="004A4DA1">
        <w:instrText xml:space="preserve"> SEQ level0 \*arabic </w:instrText>
      </w:r>
      <w:r w:rsidRPr="004A4DA1">
        <w:fldChar w:fldCharType="separate"/>
      </w:r>
      <w:r w:rsidR="004A4DA1" w:rsidRPr="004A4DA1">
        <w:rPr>
          <w:noProof/>
        </w:rPr>
        <w:t>22</w:t>
      </w:r>
      <w:r w:rsidRPr="004A4DA1">
        <w:fldChar w:fldCharType="end"/>
      </w:r>
      <w:r w:rsidRPr="004A4DA1">
        <w:t>.  Invoquant l</w:t>
      </w:r>
      <w:r w:rsidR="004A4DA1" w:rsidRPr="004A4DA1">
        <w:t>’</w:t>
      </w:r>
      <w:r w:rsidRPr="004A4DA1">
        <w:t xml:space="preserve">article 7 </w:t>
      </w:r>
      <w:r w:rsidRPr="004A4DA1">
        <w:rPr>
          <w:rFonts w:cstheme="minorHAnsi"/>
        </w:rPr>
        <w:t>§</w:t>
      </w:r>
      <w:r w:rsidRPr="004A4DA1">
        <w:t xml:space="preserve"> 1 de la Convention, le requérant allègue qu</w:t>
      </w:r>
      <w:r w:rsidR="004A4DA1" w:rsidRPr="004A4DA1">
        <w:t>’</w:t>
      </w:r>
      <w:r w:rsidRPr="004A4DA1">
        <w:t>en vertu d</w:t>
      </w:r>
      <w:r w:rsidR="004A4DA1" w:rsidRPr="004A4DA1">
        <w:t>’</w:t>
      </w:r>
      <w:r w:rsidRPr="004A4DA1">
        <w:t>une application rétroactive de la loi n</w:t>
      </w:r>
      <w:r w:rsidRPr="004A4DA1">
        <w:rPr>
          <w:vertAlign w:val="superscript"/>
        </w:rPr>
        <w:t>o</w:t>
      </w:r>
      <w:r w:rsidRPr="004A4DA1">
        <w:t xml:space="preserve"> 144 du 5 juin 2000 il a été privé de la possibilité d</w:t>
      </w:r>
      <w:r w:rsidR="004A4DA1" w:rsidRPr="004A4DA1">
        <w:t>’</w:t>
      </w:r>
      <w:r w:rsidRPr="004A4DA1">
        <w:t>accéder à la procédure abrégée et d</w:t>
      </w:r>
      <w:r w:rsidR="004A4DA1" w:rsidRPr="004A4DA1">
        <w:t>’</w:t>
      </w:r>
      <w:r w:rsidRPr="004A4DA1">
        <w:t>obtenir ainsi l</w:t>
      </w:r>
      <w:r w:rsidR="004A4DA1" w:rsidRPr="004A4DA1">
        <w:t>’</w:t>
      </w:r>
      <w:r w:rsidRPr="004A4DA1">
        <w:t>application d</w:t>
      </w:r>
      <w:r w:rsidR="004A4DA1" w:rsidRPr="004A4DA1">
        <w:t>’</w:t>
      </w:r>
      <w:r w:rsidRPr="004A4DA1">
        <w:t>une peine plus douce.</w:t>
      </w:r>
    </w:p>
    <w:p w:rsidR="00C410A9" w:rsidRPr="004A4DA1" w:rsidRDefault="00C410A9" w:rsidP="004A4DA1">
      <w:pPr>
        <w:pStyle w:val="JuPara"/>
      </w:pPr>
      <w:r w:rsidRPr="004A4DA1">
        <w:fldChar w:fldCharType="begin"/>
      </w:r>
      <w:r w:rsidRPr="004A4DA1">
        <w:instrText xml:space="preserve"> SEQ level0 \*arabic </w:instrText>
      </w:r>
      <w:r w:rsidRPr="004A4DA1">
        <w:fldChar w:fldCharType="separate"/>
      </w:r>
      <w:r w:rsidR="004A4DA1" w:rsidRPr="004A4DA1">
        <w:rPr>
          <w:noProof/>
        </w:rPr>
        <w:t>23</w:t>
      </w:r>
      <w:r w:rsidRPr="004A4DA1">
        <w:fldChar w:fldCharType="end"/>
      </w:r>
      <w:r w:rsidRPr="004A4DA1">
        <w:t>.  Il invoque aussi les articles 6 et 8 de la Convention, en alléguant que le non application de la peine plus douce a emporté une violation de l</w:t>
      </w:r>
      <w:r w:rsidR="004A4DA1" w:rsidRPr="004A4DA1">
        <w:t>’</w:t>
      </w:r>
      <w:r w:rsidRPr="004A4DA1">
        <w:t>équité de la procédure, ainsi que de son droit au respect de la vie familiale.</w:t>
      </w:r>
    </w:p>
    <w:p w:rsidR="00C410A9" w:rsidRPr="004A4DA1" w:rsidRDefault="00C410A9" w:rsidP="004A4DA1">
      <w:pPr>
        <w:pStyle w:val="JuHHead"/>
        <w:numPr>
          <w:ilvl w:val="0"/>
          <w:numId w:val="46"/>
        </w:numPr>
        <w:jc w:val="left"/>
      </w:pPr>
      <w:r w:rsidRPr="004A4DA1">
        <w:t>EN DROIT</w:t>
      </w:r>
    </w:p>
    <w:p w:rsidR="00C410A9" w:rsidRPr="004A4DA1" w:rsidRDefault="00C410A9" w:rsidP="004A4DA1">
      <w:pPr>
        <w:pStyle w:val="JuPara"/>
      </w:pPr>
      <w:r w:rsidRPr="004A4DA1">
        <w:fldChar w:fldCharType="begin"/>
      </w:r>
      <w:r w:rsidRPr="004A4DA1">
        <w:instrText xml:space="preserve"> SEQ level0 \*arabic </w:instrText>
      </w:r>
      <w:r w:rsidRPr="004A4DA1">
        <w:fldChar w:fldCharType="separate"/>
      </w:r>
      <w:r w:rsidR="004A4DA1" w:rsidRPr="004A4DA1">
        <w:rPr>
          <w:noProof/>
        </w:rPr>
        <w:t>24</w:t>
      </w:r>
      <w:r w:rsidRPr="004A4DA1">
        <w:fldChar w:fldCharType="end"/>
      </w:r>
      <w:r w:rsidRPr="004A4DA1">
        <w:t>.  Selon le requérant, l</w:t>
      </w:r>
      <w:r w:rsidR="004A4DA1" w:rsidRPr="004A4DA1">
        <w:t>’</w:t>
      </w:r>
      <w:r w:rsidRPr="004A4DA1">
        <w:t>impossibilité d</w:t>
      </w:r>
      <w:r w:rsidR="004A4DA1" w:rsidRPr="004A4DA1">
        <w:t>’</w:t>
      </w:r>
      <w:r w:rsidRPr="004A4DA1">
        <w:t>accéder à la procédure abrégée et d</w:t>
      </w:r>
      <w:r w:rsidR="004A4DA1" w:rsidRPr="004A4DA1">
        <w:t>’</w:t>
      </w:r>
      <w:r w:rsidRPr="004A4DA1">
        <w:t>obtenir l</w:t>
      </w:r>
      <w:r w:rsidR="004A4DA1" w:rsidRPr="004A4DA1">
        <w:t>’</w:t>
      </w:r>
      <w:r w:rsidRPr="004A4DA1">
        <w:t>application d</w:t>
      </w:r>
      <w:r w:rsidR="004A4DA1" w:rsidRPr="004A4DA1">
        <w:t>’</w:t>
      </w:r>
      <w:r w:rsidRPr="004A4DA1">
        <w:t>une peine plus douce a porté atteinte aux articles 6, 7 et 8 de la Convention.</w:t>
      </w:r>
    </w:p>
    <w:p w:rsidR="00C410A9" w:rsidRPr="004A4DA1" w:rsidRDefault="00C410A9" w:rsidP="004A4DA1">
      <w:pPr>
        <w:pStyle w:val="JuPara"/>
      </w:pPr>
      <w:r w:rsidRPr="004A4DA1">
        <w:fldChar w:fldCharType="begin"/>
      </w:r>
      <w:r w:rsidRPr="004A4DA1">
        <w:instrText xml:space="preserve"> SEQ level0 \*arabic </w:instrText>
      </w:r>
      <w:r w:rsidRPr="004A4DA1">
        <w:fldChar w:fldCharType="separate"/>
      </w:r>
      <w:r w:rsidR="004A4DA1" w:rsidRPr="004A4DA1">
        <w:rPr>
          <w:noProof/>
        </w:rPr>
        <w:t>25</w:t>
      </w:r>
      <w:r w:rsidRPr="004A4DA1">
        <w:fldChar w:fldCharType="end"/>
      </w:r>
      <w:r w:rsidRPr="004A4DA1">
        <w:t>.  La Cour rappelle que, selon les dispositions de l</w:t>
      </w:r>
      <w:r w:rsidR="004A4DA1" w:rsidRPr="004A4DA1">
        <w:t>’</w:t>
      </w:r>
      <w:r w:rsidRPr="004A4DA1">
        <w:t>article 35 § 1 de la Convention :</w:t>
      </w:r>
    </w:p>
    <w:p w:rsidR="00C410A9" w:rsidRPr="004A4DA1" w:rsidRDefault="00C410A9" w:rsidP="004A4DA1">
      <w:pPr>
        <w:pStyle w:val="JuQuot"/>
      </w:pPr>
      <w:r w:rsidRPr="004A4DA1">
        <w:t>« [l]a Cour ne peut être saisie qu</w:t>
      </w:r>
      <w:r w:rsidR="004A4DA1" w:rsidRPr="004A4DA1">
        <w:t>’</w:t>
      </w:r>
      <w:r w:rsidRPr="004A4DA1">
        <w:t>après l</w:t>
      </w:r>
      <w:r w:rsidR="004A4DA1" w:rsidRPr="004A4DA1">
        <w:t>’</w:t>
      </w:r>
      <w:r w:rsidRPr="004A4DA1">
        <w:t>épuisement des voies de recours internes, tel qu</w:t>
      </w:r>
      <w:r w:rsidR="004A4DA1" w:rsidRPr="004A4DA1">
        <w:t>’</w:t>
      </w:r>
      <w:r w:rsidRPr="004A4DA1">
        <w:t>il est entendu selon les principes de droit international généralement reconnus, et dans un délai de six mois à partir de la date de la décision interne définitive.».</w:t>
      </w:r>
    </w:p>
    <w:p w:rsidR="00C410A9" w:rsidRPr="004A4DA1" w:rsidRDefault="00C410A9" w:rsidP="004A4DA1">
      <w:pPr>
        <w:pStyle w:val="JuPara"/>
      </w:pPr>
      <w:r w:rsidRPr="004A4DA1">
        <w:fldChar w:fldCharType="begin"/>
      </w:r>
      <w:r w:rsidRPr="004A4DA1">
        <w:instrText xml:space="preserve"> SEQ level0 \*arabic </w:instrText>
      </w:r>
      <w:r w:rsidRPr="004A4DA1">
        <w:fldChar w:fldCharType="separate"/>
      </w:r>
      <w:r w:rsidR="004A4DA1" w:rsidRPr="004A4DA1">
        <w:rPr>
          <w:noProof/>
        </w:rPr>
        <w:t>26</w:t>
      </w:r>
      <w:r w:rsidRPr="004A4DA1">
        <w:fldChar w:fldCharType="end"/>
      </w:r>
      <w:r w:rsidRPr="004A4DA1">
        <w:t>.  La Cour relève d</w:t>
      </w:r>
      <w:r w:rsidR="004A4DA1" w:rsidRPr="004A4DA1">
        <w:t>’</w:t>
      </w:r>
      <w:r w:rsidRPr="004A4DA1">
        <w:t>emblée que la condamnation du requérant est devenue définitive le 24 novembre 2000, et qu</w:t>
      </w:r>
      <w:r w:rsidR="004A4DA1" w:rsidRPr="004A4DA1">
        <w:t>’</w:t>
      </w:r>
      <w:r w:rsidRPr="004A4DA1">
        <w:t>avant de saisir la Cour il a introduit devant le juge de l</w:t>
      </w:r>
      <w:r w:rsidR="004A4DA1" w:rsidRPr="004A4DA1">
        <w:t>’</w:t>
      </w:r>
      <w:r w:rsidRPr="004A4DA1">
        <w:t>exécution une demande visant à obtenir une nouvelle détermination de la peine conformément aux principes affirmés par la Cour dans l</w:t>
      </w:r>
      <w:r w:rsidR="004A4DA1" w:rsidRPr="004A4DA1">
        <w:t>’</w:t>
      </w:r>
      <w:r w:rsidRPr="004A4DA1">
        <w:t xml:space="preserve">arrêt </w:t>
      </w:r>
      <w:r w:rsidRPr="004A4DA1">
        <w:rPr>
          <w:i/>
          <w:iCs/>
        </w:rPr>
        <w:t>Scoppola c. Italie (n</w:t>
      </w:r>
      <w:r w:rsidRPr="004A4DA1">
        <w:rPr>
          <w:i/>
          <w:iCs/>
          <w:vertAlign w:val="superscript"/>
        </w:rPr>
        <w:t>o</w:t>
      </w:r>
      <w:r w:rsidRPr="004A4DA1">
        <w:rPr>
          <w:i/>
          <w:iCs/>
        </w:rPr>
        <w:t xml:space="preserve"> 2)</w:t>
      </w:r>
      <w:r w:rsidRPr="004A4DA1">
        <w:t>. Le requérant soutient que le délai de six mois de l</w:t>
      </w:r>
      <w:r w:rsidR="004A4DA1" w:rsidRPr="004A4DA1">
        <w:t>’</w:t>
      </w:r>
      <w:r w:rsidRPr="004A4DA1">
        <w:t>article 35 de la Convention devrait courir à compter du rejet final de cette demande, à savoir le 9 février 2016.</w:t>
      </w:r>
    </w:p>
    <w:p w:rsidR="00C410A9" w:rsidRPr="004A4DA1" w:rsidRDefault="00C410A9" w:rsidP="004A4DA1">
      <w:pPr>
        <w:pStyle w:val="JuPara"/>
      </w:pPr>
      <w:r w:rsidRPr="004A4DA1">
        <w:fldChar w:fldCharType="begin"/>
      </w:r>
      <w:r w:rsidRPr="004A4DA1">
        <w:instrText xml:space="preserve"> SEQ level0 \*arabic </w:instrText>
      </w:r>
      <w:r w:rsidRPr="004A4DA1">
        <w:fldChar w:fldCharType="separate"/>
      </w:r>
      <w:r w:rsidR="004A4DA1" w:rsidRPr="004A4DA1">
        <w:rPr>
          <w:noProof/>
        </w:rPr>
        <w:t>27</w:t>
      </w:r>
      <w:r w:rsidRPr="004A4DA1">
        <w:fldChar w:fldCharType="end"/>
      </w:r>
      <w:r w:rsidRPr="004A4DA1">
        <w:t>.  Elle observe que, conformément auxdites dispositions, un requérant doit se prévaloir des recours normalement disponibles et suffisants pour lui permettre d</w:t>
      </w:r>
      <w:r w:rsidR="004A4DA1" w:rsidRPr="004A4DA1">
        <w:t>’</w:t>
      </w:r>
      <w:r w:rsidRPr="004A4DA1">
        <w:t>obtenir réparation des violations qu</w:t>
      </w:r>
      <w:r w:rsidR="004A4DA1" w:rsidRPr="004A4DA1">
        <w:t>’</w:t>
      </w:r>
      <w:r w:rsidRPr="004A4DA1">
        <w:t>il allègue. Ces recours doivent exister à un degré suffisant de certitude, en pratique comme en théorie, sans quoi leur manquent l</w:t>
      </w:r>
      <w:r w:rsidR="004A4DA1" w:rsidRPr="004A4DA1">
        <w:t>’</w:t>
      </w:r>
      <w:r w:rsidRPr="004A4DA1">
        <w:t>effectivité et l</w:t>
      </w:r>
      <w:r w:rsidR="004A4DA1" w:rsidRPr="004A4DA1">
        <w:t>’</w:t>
      </w:r>
      <w:r w:rsidRPr="004A4DA1">
        <w:t>accessibilité voulues (</w:t>
      </w:r>
      <w:proofErr w:type="spellStart"/>
      <w:r w:rsidRPr="004A4DA1">
        <w:rPr>
          <w:i/>
        </w:rPr>
        <w:t>S</w:t>
      </w:r>
      <w:r w:rsidRPr="004A4DA1">
        <w:rPr>
          <w:bCs/>
          <w:i/>
        </w:rPr>
        <w:t>cordino</w:t>
      </w:r>
      <w:proofErr w:type="spellEnd"/>
      <w:r w:rsidRPr="004A4DA1">
        <w:rPr>
          <w:bCs/>
          <w:i/>
        </w:rPr>
        <w:t xml:space="preserve"> et autres c. Italie</w:t>
      </w:r>
      <w:r w:rsidRPr="004A4DA1">
        <w:rPr>
          <w:bCs/>
        </w:rPr>
        <w:t xml:space="preserve"> (n</w:t>
      </w:r>
      <w:r w:rsidRPr="004A4DA1">
        <w:rPr>
          <w:bCs/>
          <w:vertAlign w:val="superscript"/>
        </w:rPr>
        <w:t>o</w:t>
      </w:r>
      <w:r w:rsidRPr="004A4DA1">
        <w:rPr>
          <w:bCs/>
        </w:rPr>
        <w:t xml:space="preserve"> 1) (déc.), </w:t>
      </w:r>
      <w:r w:rsidRPr="004A4DA1">
        <w:rPr>
          <w:lang w:val="pt-PT"/>
        </w:rPr>
        <w:t>n</w:t>
      </w:r>
      <w:r w:rsidRPr="004A4DA1">
        <w:rPr>
          <w:vertAlign w:val="superscript"/>
          <w:lang w:val="pt-PT"/>
        </w:rPr>
        <w:t>o</w:t>
      </w:r>
      <w:r w:rsidRPr="004A4DA1">
        <w:rPr>
          <w:lang w:val="pt-PT"/>
        </w:rPr>
        <w:t xml:space="preserve"> </w:t>
      </w:r>
      <w:r w:rsidRPr="004A4DA1">
        <w:t>36813/97, 27 mars 2003).</w:t>
      </w:r>
    </w:p>
    <w:p w:rsidR="00C410A9" w:rsidRPr="004A4DA1" w:rsidRDefault="00C410A9" w:rsidP="004A4DA1">
      <w:pPr>
        <w:pStyle w:val="JuPara"/>
        <w:rPr>
          <w:bCs/>
        </w:rPr>
      </w:pPr>
      <w:r w:rsidRPr="004A4DA1">
        <w:lastRenderedPageBreak/>
        <w:fldChar w:fldCharType="begin"/>
      </w:r>
      <w:r w:rsidRPr="004A4DA1">
        <w:instrText xml:space="preserve"> SEQ level0 \*arabic </w:instrText>
      </w:r>
      <w:r w:rsidRPr="004A4DA1">
        <w:fldChar w:fldCharType="separate"/>
      </w:r>
      <w:r w:rsidR="004A4DA1" w:rsidRPr="004A4DA1">
        <w:rPr>
          <w:noProof/>
        </w:rPr>
        <w:t>28</w:t>
      </w:r>
      <w:r w:rsidRPr="004A4DA1">
        <w:fldChar w:fldCharType="end"/>
      </w:r>
      <w:r w:rsidRPr="004A4DA1">
        <w:t>.  Notamment, un refus systématique des juridictions internes et caractérisé par une jurisprudence établie de prendre en compte un certain grief peut dispenser le requérant d</w:t>
      </w:r>
      <w:r w:rsidR="004A4DA1" w:rsidRPr="004A4DA1">
        <w:t>’</w:t>
      </w:r>
      <w:r w:rsidRPr="004A4DA1">
        <w:t xml:space="preserve">épuiser les voies de recours internes (voir, </w:t>
      </w:r>
      <w:r w:rsidRPr="004A4DA1">
        <w:rPr>
          <w:i/>
        </w:rPr>
        <w:t>a contrario</w:t>
      </w:r>
      <w:r w:rsidRPr="004A4DA1">
        <w:t xml:space="preserve"> : </w:t>
      </w:r>
      <w:proofErr w:type="spellStart"/>
      <w:r w:rsidRPr="004A4DA1">
        <w:rPr>
          <w:bCs/>
          <w:i/>
        </w:rPr>
        <w:t>Lienhardt</w:t>
      </w:r>
      <w:proofErr w:type="spellEnd"/>
      <w:r w:rsidRPr="004A4DA1">
        <w:rPr>
          <w:bCs/>
          <w:i/>
        </w:rPr>
        <w:t xml:space="preserve"> c. France</w:t>
      </w:r>
      <w:r w:rsidRPr="004A4DA1">
        <w:rPr>
          <w:bCs/>
        </w:rPr>
        <w:t xml:space="preserve"> (déc.), </w:t>
      </w:r>
      <w:r w:rsidRPr="004A4DA1">
        <w:rPr>
          <w:lang w:val="pt-PT"/>
        </w:rPr>
        <w:t>n</w:t>
      </w:r>
      <w:r w:rsidRPr="004A4DA1">
        <w:rPr>
          <w:vertAlign w:val="superscript"/>
          <w:lang w:val="pt-PT"/>
        </w:rPr>
        <w:t>o</w:t>
      </w:r>
      <w:r w:rsidRPr="004A4DA1">
        <w:rPr>
          <w:bCs/>
        </w:rPr>
        <w:t xml:space="preserve"> 12139/10, 13 septembre 2011 ; </w:t>
      </w:r>
      <w:r w:rsidRPr="004A4DA1">
        <w:rPr>
          <w:bCs/>
          <w:i/>
        </w:rPr>
        <w:t>Rhazali et autres c. France</w:t>
      </w:r>
      <w:r w:rsidRPr="004A4DA1">
        <w:rPr>
          <w:bCs/>
        </w:rPr>
        <w:t xml:space="preserve"> (déc.), n</w:t>
      </w:r>
      <w:r w:rsidRPr="004A4DA1">
        <w:rPr>
          <w:vertAlign w:val="superscript"/>
          <w:lang w:val="pt-PT"/>
        </w:rPr>
        <w:t>o</w:t>
      </w:r>
      <w:r w:rsidRPr="004A4DA1">
        <w:rPr>
          <w:b/>
          <w:bCs/>
        </w:rPr>
        <w:t xml:space="preserve"> </w:t>
      </w:r>
      <w:r w:rsidRPr="004A4DA1">
        <w:rPr>
          <w:bCs/>
        </w:rPr>
        <w:t xml:space="preserve">37568/09, 10 avril 2012 ; </w:t>
      </w:r>
      <w:proofErr w:type="spellStart"/>
      <w:r w:rsidRPr="004A4DA1">
        <w:rPr>
          <w:bCs/>
          <w:i/>
        </w:rPr>
        <w:t>Iļjins</w:t>
      </w:r>
      <w:proofErr w:type="spellEnd"/>
      <w:r w:rsidRPr="004A4DA1">
        <w:rPr>
          <w:bCs/>
          <w:i/>
        </w:rPr>
        <w:t xml:space="preserve"> v. </w:t>
      </w:r>
      <w:proofErr w:type="spellStart"/>
      <w:r w:rsidRPr="004A4DA1">
        <w:rPr>
          <w:bCs/>
          <w:i/>
        </w:rPr>
        <w:t>Latvia</w:t>
      </w:r>
      <w:proofErr w:type="spellEnd"/>
      <w:r w:rsidRPr="004A4DA1">
        <w:rPr>
          <w:bCs/>
        </w:rPr>
        <w:t xml:space="preserve"> (</w:t>
      </w:r>
      <w:proofErr w:type="spellStart"/>
      <w:r w:rsidRPr="004A4DA1">
        <w:rPr>
          <w:bCs/>
        </w:rPr>
        <w:t>déc</w:t>
      </w:r>
      <w:proofErr w:type="spellEnd"/>
      <w:r w:rsidRPr="004A4DA1">
        <w:rPr>
          <w:bCs/>
        </w:rPr>
        <w:t>), n</w:t>
      </w:r>
      <w:r w:rsidRPr="004A4DA1">
        <w:rPr>
          <w:vertAlign w:val="superscript"/>
          <w:lang w:val="pt-PT"/>
        </w:rPr>
        <w:t>o</w:t>
      </w:r>
      <w:r w:rsidRPr="004A4DA1">
        <w:rPr>
          <w:b/>
          <w:bCs/>
        </w:rPr>
        <w:t xml:space="preserve"> </w:t>
      </w:r>
      <w:r w:rsidRPr="004A4DA1">
        <w:rPr>
          <w:bCs/>
        </w:rPr>
        <w:t xml:space="preserve">1179/10, 5 novembre 2013, </w:t>
      </w:r>
      <w:r w:rsidRPr="004A4DA1">
        <w:rPr>
          <w:rFonts w:cstheme="minorHAnsi"/>
          <w:bCs/>
        </w:rPr>
        <w:t>§</w:t>
      </w:r>
      <w:r w:rsidRPr="004A4DA1">
        <w:rPr>
          <w:bCs/>
        </w:rPr>
        <w:t xml:space="preserve"> 38 in fine ; et </w:t>
      </w:r>
      <w:proofErr w:type="spellStart"/>
      <w:r w:rsidRPr="004A4DA1">
        <w:rPr>
          <w:bCs/>
          <w:i/>
        </w:rPr>
        <w:t>Gatto</w:t>
      </w:r>
      <w:proofErr w:type="spellEnd"/>
      <w:r w:rsidRPr="004A4DA1">
        <w:rPr>
          <w:bCs/>
          <w:i/>
        </w:rPr>
        <w:t xml:space="preserve"> v. </w:t>
      </w:r>
      <w:proofErr w:type="spellStart"/>
      <w:r w:rsidRPr="004A4DA1">
        <w:rPr>
          <w:bCs/>
          <w:i/>
        </w:rPr>
        <w:t>Italy</w:t>
      </w:r>
      <w:proofErr w:type="spellEnd"/>
      <w:r w:rsidRPr="004A4DA1">
        <w:rPr>
          <w:bCs/>
          <w:i/>
        </w:rPr>
        <w:t xml:space="preserve"> (déc.)</w:t>
      </w:r>
      <w:r w:rsidRPr="004A4DA1">
        <w:rPr>
          <w:bCs/>
        </w:rPr>
        <w:t xml:space="preserve"> n</w:t>
      </w:r>
      <w:r w:rsidRPr="004A4DA1">
        <w:rPr>
          <w:vertAlign w:val="superscript"/>
          <w:lang w:val="pt-PT"/>
        </w:rPr>
        <w:t>o</w:t>
      </w:r>
      <w:r w:rsidRPr="004A4DA1">
        <w:rPr>
          <w:bCs/>
        </w:rPr>
        <w:t xml:space="preserve"> 19424/08, 8 mars 2016, </w:t>
      </w:r>
      <w:r w:rsidRPr="004A4DA1">
        <w:rPr>
          <w:rFonts w:cstheme="minorHAnsi"/>
          <w:bCs/>
        </w:rPr>
        <w:t>§</w:t>
      </w:r>
      <w:r w:rsidRPr="004A4DA1">
        <w:rPr>
          <w:bCs/>
        </w:rPr>
        <w:t xml:space="preserve"> 35 in fine).</w:t>
      </w:r>
    </w:p>
    <w:p w:rsidR="00C410A9" w:rsidRPr="004A4DA1" w:rsidRDefault="00C410A9" w:rsidP="004A4DA1">
      <w:pPr>
        <w:pStyle w:val="JuPara"/>
      </w:pPr>
      <w:r w:rsidRPr="004A4DA1">
        <w:rPr>
          <w:snapToGrid w:val="0"/>
        </w:rPr>
        <w:fldChar w:fldCharType="begin"/>
      </w:r>
      <w:r w:rsidRPr="004A4DA1">
        <w:rPr>
          <w:snapToGrid w:val="0"/>
        </w:rPr>
        <w:instrText xml:space="preserve"> SEQ level0 \*arabic </w:instrText>
      </w:r>
      <w:r w:rsidRPr="004A4DA1">
        <w:rPr>
          <w:snapToGrid w:val="0"/>
        </w:rPr>
        <w:fldChar w:fldCharType="separate"/>
      </w:r>
      <w:r w:rsidR="004A4DA1" w:rsidRPr="004A4DA1">
        <w:rPr>
          <w:noProof/>
          <w:snapToGrid w:val="0"/>
        </w:rPr>
        <w:t>29</w:t>
      </w:r>
      <w:r w:rsidRPr="004A4DA1">
        <w:rPr>
          <w:snapToGrid w:val="0"/>
        </w:rPr>
        <w:fldChar w:fldCharType="end"/>
      </w:r>
      <w:r w:rsidRPr="004A4DA1">
        <w:rPr>
          <w:snapToGrid w:val="0"/>
        </w:rPr>
        <w:t>.  Lorsqu</w:t>
      </w:r>
      <w:r w:rsidR="004A4DA1" w:rsidRPr="004A4DA1">
        <w:t>’</w:t>
      </w:r>
      <w:r w:rsidRPr="004A4DA1">
        <w:t>un requérant a tenté d</w:t>
      </w:r>
      <w:r w:rsidR="004A4DA1" w:rsidRPr="004A4DA1">
        <w:t>’</w:t>
      </w:r>
      <w:r w:rsidRPr="004A4DA1">
        <w:t>utiliser une voie de recours qui ne satisfait pas aux exigences de l</w:t>
      </w:r>
      <w:r w:rsidR="004A4DA1" w:rsidRPr="004A4DA1">
        <w:t>’</w:t>
      </w:r>
      <w:r w:rsidRPr="004A4DA1">
        <w:t>article 35 § 1, le temps pris pour ce faire n</w:t>
      </w:r>
      <w:r w:rsidR="004A4DA1" w:rsidRPr="004A4DA1">
        <w:t>’</w:t>
      </w:r>
      <w:r w:rsidRPr="004A4DA1">
        <w:t>empêche pas le délai de six mois de courir (</w:t>
      </w:r>
      <w:proofErr w:type="spellStart"/>
      <w:r w:rsidRPr="004A4DA1">
        <w:rPr>
          <w:i/>
        </w:rPr>
        <w:t>Jeronovičs</w:t>
      </w:r>
      <w:proofErr w:type="spellEnd"/>
      <w:r w:rsidRPr="004A4DA1">
        <w:rPr>
          <w:i/>
        </w:rPr>
        <w:t xml:space="preserve"> c. Lettonie</w:t>
      </w:r>
      <w:r w:rsidRPr="004A4DA1">
        <w:t xml:space="preserve"> [GC], n</w:t>
      </w:r>
      <w:r w:rsidRPr="004A4DA1">
        <w:rPr>
          <w:vertAlign w:val="superscript"/>
        </w:rPr>
        <w:t>o</w:t>
      </w:r>
      <w:r w:rsidR="00C2215A" w:rsidRPr="004A4DA1">
        <w:rPr>
          <w:vertAlign w:val="superscript"/>
        </w:rPr>
        <w:t> </w:t>
      </w:r>
      <w:r w:rsidRPr="004A4DA1">
        <w:t>44898/10</w:t>
      </w:r>
      <w:r w:rsidRPr="004A4DA1">
        <w:rPr>
          <w:snapToGrid w:val="0"/>
        </w:rPr>
        <w:t xml:space="preserve">, § 75, 5 juillet 2016), </w:t>
      </w:r>
      <w:r w:rsidRPr="004A4DA1">
        <w:t>ce qui peut conduire au rejet de la requête pour non-respect de ce délai (</w:t>
      </w:r>
      <w:proofErr w:type="spellStart"/>
      <w:r w:rsidRPr="004A4DA1">
        <w:rPr>
          <w:i/>
        </w:rPr>
        <w:t>Rezgui</w:t>
      </w:r>
      <w:proofErr w:type="spellEnd"/>
      <w:r w:rsidRPr="004A4DA1">
        <w:rPr>
          <w:i/>
        </w:rPr>
        <w:t xml:space="preserve"> c. France </w:t>
      </w:r>
      <w:r w:rsidRPr="004A4DA1">
        <w:t xml:space="preserve">(déc.), </w:t>
      </w:r>
      <w:r w:rsidRPr="004A4DA1">
        <w:rPr>
          <w:lang w:val="pt-PT"/>
        </w:rPr>
        <w:t>n</w:t>
      </w:r>
      <w:r w:rsidRPr="004A4DA1">
        <w:rPr>
          <w:vertAlign w:val="superscript"/>
          <w:lang w:val="pt-PT"/>
        </w:rPr>
        <w:t>o</w:t>
      </w:r>
      <w:r w:rsidR="00C2215A" w:rsidRPr="004A4DA1">
        <w:t> </w:t>
      </w:r>
      <w:r w:rsidRPr="004A4DA1">
        <w:t xml:space="preserve">49859/99, 7 novembre 2000; </w:t>
      </w:r>
      <w:proofErr w:type="spellStart"/>
      <w:r w:rsidRPr="004A4DA1">
        <w:rPr>
          <w:i/>
          <w:iCs/>
        </w:rPr>
        <w:t>Prystavska</w:t>
      </w:r>
      <w:proofErr w:type="spellEnd"/>
      <w:r w:rsidRPr="004A4DA1">
        <w:rPr>
          <w:i/>
          <w:iCs/>
        </w:rPr>
        <w:t xml:space="preserve"> c. Ukraine </w:t>
      </w:r>
      <w:r w:rsidRPr="004A4DA1">
        <w:t>(déc.), n</w:t>
      </w:r>
      <w:r w:rsidRPr="004A4DA1">
        <w:rPr>
          <w:bCs/>
          <w:vertAlign w:val="superscript"/>
          <w:lang w:val="pt-PT"/>
        </w:rPr>
        <w:t>o</w:t>
      </w:r>
      <w:r w:rsidRPr="004A4DA1">
        <w:t xml:space="preserve"> 21287/02, </w:t>
      </w:r>
      <w:r w:rsidR="00C2215A" w:rsidRPr="004A4DA1">
        <w:br/>
      </w:r>
      <w:r w:rsidRPr="004A4DA1">
        <w:t xml:space="preserve">CEDH 2002-X ; </w:t>
      </w:r>
      <w:proofErr w:type="spellStart"/>
      <w:r w:rsidRPr="004A4DA1">
        <w:rPr>
          <w:i/>
          <w:iCs/>
        </w:rPr>
        <w:t>Sheidl</w:t>
      </w:r>
      <w:proofErr w:type="spellEnd"/>
      <w:r w:rsidRPr="004A4DA1">
        <w:rPr>
          <w:i/>
          <w:iCs/>
        </w:rPr>
        <w:t xml:space="preserve"> c. Ukraine</w:t>
      </w:r>
      <w:r w:rsidRPr="004A4DA1">
        <w:t> (déc.), n</w:t>
      </w:r>
      <w:r w:rsidRPr="004A4DA1">
        <w:rPr>
          <w:bCs/>
          <w:vertAlign w:val="superscript"/>
          <w:lang w:val="pt-PT"/>
        </w:rPr>
        <w:t>o</w:t>
      </w:r>
      <w:r w:rsidRPr="004A4DA1">
        <w:t xml:space="preserve"> 3460/03, 25 mars 2008 ; </w:t>
      </w:r>
      <w:proofErr w:type="spellStart"/>
      <w:r w:rsidRPr="004A4DA1">
        <w:rPr>
          <w:bCs/>
          <w:i/>
        </w:rPr>
        <w:t>Ulyanov</w:t>
      </w:r>
      <w:proofErr w:type="spellEnd"/>
      <w:r w:rsidRPr="004A4DA1">
        <w:rPr>
          <w:bCs/>
          <w:i/>
        </w:rPr>
        <w:t xml:space="preserve"> c. Ukraine</w:t>
      </w:r>
      <w:r w:rsidRPr="004A4DA1">
        <w:rPr>
          <w:bCs/>
        </w:rPr>
        <w:t xml:space="preserve"> (déc.), </w:t>
      </w:r>
      <w:r w:rsidRPr="004A4DA1">
        <w:t>n</w:t>
      </w:r>
      <w:r w:rsidRPr="004A4DA1">
        <w:rPr>
          <w:bCs/>
          <w:vertAlign w:val="superscript"/>
          <w:lang w:val="pt-PT"/>
        </w:rPr>
        <w:t>o</w:t>
      </w:r>
      <w:r w:rsidRPr="004A4DA1">
        <w:t> 16472/04</w:t>
      </w:r>
      <w:r w:rsidR="00C2215A" w:rsidRPr="004A4DA1">
        <w:t xml:space="preserve">, </w:t>
      </w:r>
      <w:r w:rsidRPr="004A4DA1">
        <w:t xml:space="preserve">5 octobre 2010 ; et </w:t>
      </w:r>
      <w:r w:rsidR="00C2215A" w:rsidRPr="004A4DA1">
        <w:rPr>
          <w:bCs/>
          <w:i/>
        </w:rPr>
        <w:t>Traina c. </w:t>
      </w:r>
      <w:r w:rsidRPr="004A4DA1">
        <w:rPr>
          <w:bCs/>
          <w:i/>
        </w:rPr>
        <w:t xml:space="preserve">Portugal </w:t>
      </w:r>
      <w:r w:rsidRPr="004A4DA1">
        <w:rPr>
          <w:bCs/>
        </w:rPr>
        <w:t xml:space="preserve">(déc.), </w:t>
      </w:r>
      <w:r w:rsidRPr="004A4DA1">
        <w:t>n</w:t>
      </w:r>
      <w:r w:rsidRPr="004A4DA1">
        <w:rPr>
          <w:bCs/>
          <w:vertAlign w:val="superscript"/>
          <w:lang w:val="pt-PT"/>
        </w:rPr>
        <w:t>o</w:t>
      </w:r>
      <w:r w:rsidRPr="004A4DA1">
        <w:t> 59431/11, 21 mars 2017).</w:t>
      </w:r>
    </w:p>
    <w:p w:rsidR="00C410A9" w:rsidRPr="004A4DA1" w:rsidRDefault="00C410A9" w:rsidP="004A4DA1">
      <w:pPr>
        <w:pStyle w:val="JuPara"/>
        <w:rPr>
          <w:iCs/>
        </w:rPr>
      </w:pPr>
      <w:r w:rsidRPr="004A4DA1">
        <w:fldChar w:fldCharType="begin"/>
      </w:r>
      <w:r w:rsidRPr="004A4DA1">
        <w:instrText xml:space="preserve"> SEQ level0 \*arabic </w:instrText>
      </w:r>
      <w:r w:rsidRPr="004A4DA1">
        <w:fldChar w:fldCharType="separate"/>
      </w:r>
      <w:r w:rsidR="004A4DA1" w:rsidRPr="004A4DA1">
        <w:rPr>
          <w:noProof/>
        </w:rPr>
        <w:t>30</w:t>
      </w:r>
      <w:r w:rsidRPr="004A4DA1">
        <w:fldChar w:fldCharType="end"/>
      </w:r>
      <w:r w:rsidRPr="004A4DA1">
        <w:t>.  Dans le cas d</w:t>
      </w:r>
      <w:r w:rsidR="004A4DA1" w:rsidRPr="004A4DA1">
        <w:t>’</w:t>
      </w:r>
      <w:r w:rsidRPr="004A4DA1">
        <w:t>espèce, le requérant introduisit devant le juge d</w:t>
      </w:r>
      <w:r w:rsidR="004A4DA1" w:rsidRPr="004A4DA1">
        <w:t>’</w:t>
      </w:r>
      <w:r w:rsidRPr="004A4DA1">
        <w:t>exécution une demande d</w:t>
      </w:r>
      <w:r w:rsidR="004A4DA1" w:rsidRPr="004A4DA1">
        <w:t>’</w:t>
      </w:r>
      <w:r w:rsidRPr="004A4DA1">
        <w:t>application des principes de l</w:t>
      </w:r>
      <w:r w:rsidR="004A4DA1" w:rsidRPr="004A4DA1">
        <w:t>’</w:t>
      </w:r>
      <w:r w:rsidRPr="004A4DA1">
        <w:t xml:space="preserve">arrêt </w:t>
      </w:r>
      <w:r w:rsidRPr="004A4DA1">
        <w:rPr>
          <w:i/>
          <w:iCs/>
        </w:rPr>
        <w:t>Scoppola c. </w:t>
      </w:r>
      <w:r w:rsidR="00C2215A" w:rsidRPr="004A4DA1">
        <w:rPr>
          <w:i/>
          <w:iCs/>
        </w:rPr>
        <w:t xml:space="preserve">Italie </w:t>
      </w:r>
      <w:r w:rsidRPr="004A4DA1">
        <w:rPr>
          <w:i/>
          <w:iCs/>
        </w:rPr>
        <w:t>(n</w:t>
      </w:r>
      <w:r w:rsidRPr="004A4DA1">
        <w:rPr>
          <w:i/>
          <w:iCs/>
          <w:vertAlign w:val="superscript"/>
        </w:rPr>
        <w:t>o</w:t>
      </w:r>
      <w:r w:rsidRPr="004A4DA1">
        <w:rPr>
          <w:i/>
          <w:iCs/>
        </w:rPr>
        <w:t xml:space="preserve"> 2) </w:t>
      </w:r>
      <w:r w:rsidRPr="004A4DA1">
        <w:rPr>
          <w:iCs/>
        </w:rPr>
        <w:t>le 2 janvier 2014.</w:t>
      </w:r>
    </w:p>
    <w:p w:rsidR="00C410A9" w:rsidRPr="004A4DA1" w:rsidRDefault="00C410A9" w:rsidP="004A4DA1">
      <w:pPr>
        <w:pStyle w:val="JuPara"/>
      </w:pPr>
      <w:r w:rsidRPr="004A4DA1">
        <w:rPr>
          <w:iCs/>
        </w:rPr>
        <w:fldChar w:fldCharType="begin"/>
      </w:r>
      <w:r w:rsidRPr="004A4DA1">
        <w:rPr>
          <w:iCs/>
        </w:rPr>
        <w:instrText xml:space="preserve"> SEQ level0 \*arabic </w:instrText>
      </w:r>
      <w:r w:rsidRPr="004A4DA1">
        <w:rPr>
          <w:iCs/>
        </w:rPr>
        <w:fldChar w:fldCharType="separate"/>
      </w:r>
      <w:r w:rsidR="004A4DA1" w:rsidRPr="004A4DA1">
        <w:rPr>
          <w:iCs/>
          <w:noProof/>
        </w:rPr>
        <w:t>31</w:t>
      </w:r>
      <w:r w:rsidRPr="004A4DA1">
        <w:rPr>
          <w:iCs/>
        </w:rPr>
        <w:fldChar w:fldCharType="end"/>
      </w:r>
      <w:r w:rsidRPr="004A4DA1">
        <w:rPr>
          <w:iCs/>
        </w:rPr>
        <w:t xml:space="preserve">.  La Cour observe que, à cette date, la jurisprudence des </w:t>
      </w:r>
      <w:r w:rsidRPr="004A4DA1">
        <w:t xml:space="preserve">Cours Supérieures internes </w:t>
      </w:r>
      <w:r w:rsidRPr="004A4DA1">
        <w:rPr>
          <w:iCs/>
        </w:rPr>
        <w:t>était bien établie quant à l</w:t>
      </w:r>
      <w:r w:rsidR="004A4DA1" w:rsidRPr="004A4DA1">
        <w:rPr>
          <w:iCs/>
        </w:rPr>
        <w:t>’</w:t>
      </w:r>
      <w:r w:rsidRPr="004A4DA1">
        <w:rPr>
          <w:iCs/>
        </w:rPr>
        <w:t>impossibilité pour les condamnés se trouvant dans la même situation du requérant d</w:t>
      </w:r>
      <w:r w:rsidR="004A4DA1" w:rsidRPr="004A4DA1">
        <w:rPr>
          <w:iCs/>
        </w:rPr>
        <w:t>’</w:t>
      </w:r>
      <w:r w:rsidRPr="004A4DA1">
        <w:rPr>
          <w:iCs/>
        </w:rPr>
        <w:t>obtenir l</w:t>
      </w:r>
      <w:r w:rsidR="004A4DA1" w:rsidRPr="004A4DA1">
        <w:rPr>
          <w:iCs/>
        </w:rPr>
        <w:t>’</w:t>
      </w:r>
      <w:r w:rsidRPr="004A4DA1">
        <w:rPr>
          <w:iCs/>
        </w:rPr>
        <w:t xml:space="preserve">application des principes </w:t>
      </w:r>
      <w:r w:rsidRPr="004A4DA1">
        <w:rPr>
          <w:i/>
          <w:iCs/>
        </w:rPr>
        <w:t>Scoppola</w:t>
      </w:r>
      <w:r w:rsidRPr="004A4DA1">
        <w:rPr>
          <w:iCs/>
        </w:rPr>
        <w:t xml:space="preserve"> à travers ce remède. </w:t>
      </w:r>
      <w:r w:rsidRPr="004A4DA1">
        <w:t>Elle estime que, au plus tard à partir du 31 juillet 2013 (date de la publication au Journal officiel (</w:t>
      </w:r>
      <w:proofErr w:type="spellStart"/>
      <w:r w:rsidRPr="004A4DA1">
        <w:rPr>
          <w:i/>
          <w:iCs/>
        </w:rPr>
        <w:t>Gazzetta</w:t>
      </w:r>
      <w:proofErr w:type="spellEnd"/>
      <w:r w:rsidRPr="004A4DA1">
        <w:rPr>
          <w:i/>
          <w:iCs/>
        </w:rPr>
        <w:t xml:space="preserve"> </w:t>
      </w:r>
      <w:proofErr w:type="spellStart"/>
      <w:r w:rsidRPr="004A4DA1">
        <w:rPr>
          <w:i/>
          <w:iCs/>
        </w:rPr>
        <w:t>ufficiale</w:t>
      </w:r>
      <w:proofErr w:type="spellEnd"/>
      <w:r w:rsidRPr="004A4DA1">
        <w:t>) de l</w:t>
      </w:r>
      <w:r w:rsidR="004A4DA1" w:rsidRPr="004A4DA1">
        <w:t>’</w:t>
      </w:r>
      <w:r w:rsidRPr="004A4DA1">
        <w:t>ordonnance de la Cour constitutionnelle n</w:t>
      </w:r>
      <w:r w:rsidRPr="004A4DA1">
        <w:rPr>
          <w:iCs/>
          <w:vertAlign w:val="superscript"/>
        </w:rPr>
        <w:t>o</w:t>
      </w:r>
      <w:r w:rsidRPr="004A4DA1">
        <w:t xml:space="preserve"> 235 du 16 juillet 2013), il était évident pour tout condamné à perpétuité qui n</w:t>
      </w:r>
      <w:r w:rsidR="004A4DA1" w:rsidRPr="004A4DA1">
        <w:t>’</w:t>
      </w:r>
      <w:r w:rsidRPr="004A4DA1">
        <w:t>avait pas pu accéder à la procédure abrégée en raison de la phase dans laquelle se trouvait la procédure en cours lors de l</w:t>
      </w:r>
      <w:r w:rsidR="004A4DA1" w:rsidRPr="004A4DA1">
        <w:t>’</w:t>
      </w:r>
      <w:r w:rsidRPr="004A4DA1">
        <w:t xml:space="preserve">entrée en vigueur de la loi </w:t>
      </w:r>
      <w:r w:rsidRPr="004A4DA1">
        <w:rPr>
          <w:bCs/>
        </w:rPr>
        <w:t>n</w:t>
      </w:r>
      <w:r w:rsidRPr="004A4DA1">
        <w:rPr>
          <w:rFonts w:cstheme="minorHAnsi"/>
          <w:bCs/>
          <w:vertAlign w:val="superscript"/>
        </w:rPr>
        <w:t>o</w:t>
      </w:r>
      <w:r w:rsidR="00C2215A" w:rsidRPr="004A4DA1">
        <w:rPr>
          <w:rFonts w:cstheme="minorHAnsi"/>
          <w:bCs/>
        </w:rPr>
        <w:t> </w:t>
      </w:r>
      <w:r w:rsidRPr="004A4DA1">
        <w:t>479/99, que la proposition d</w:t>
      </w:r>
      <w:r w:rsidR="004A4DA1" w:rsidRPr="004A4DA1">
        <w:t>’</w:t>
      </w:r>
      <w:r w:rsidRPr="004A4DA1">
        <w:t>une demande d</w:t>
      </w:r>
      <w:r w:rsidR="004A4DA1" w:rsidRPr="004A4DA1">
        <w:t>’</w:t>
      </w:r>
      <w:r w:rsidRPr="004A4DA1">
        <w:t>application des principes</w:t>
      </w:r>
      <w:r w:rsidRPr="004A4DA1">
        <w:rPr>
          <w:i/>
          <w:iCs/>
        </w:rPr>
        <w:t xml:space="preserve"> Scoppola </w:t>
      </w:r>
      <w:r w:rsidRPr="004A4DA1">
        <w:rPr>
          <w:iCs/>
        </w:rPr>
        <w:t>devant le juge de l</w:t>
      </w:r>
      <w:r w:rsidR="004A4DA1" w:rsidRPr="004A4DA1">
        <w:rPr>
          <w:iCs/>
        </w:rPr>
        <w:t>’</w:t>
      </w:r>
      <w:r w:rsidRPr="004A4DA1">
        <w:rPr>
          <w:iCs/>
        </w:rPr>
        <w:t xml:space="preserve">exécution ne permettait pas </w:t>
      </w:r>
      <w:r w:rsidRPr="004A4DA1">
        <w:t>d</w:t>
      </w:r>
      <w:r w:rsidR="004A4DA1" w:rsidRPr="004A4DA1">
        <w:t>’</w:t>
      </w:r>
      <w:r w:rsidRPr="004A4DA1">
        <w:t>obtenir réparation des violations alléguées de la Convention.</w:t>
      </w:r>
    </w:p>
    <w:p w:rsidR="00C410A9" w:rsidRPr="004A4DA1" w:rsidRDefault="00C410A9" w:rsidP="004A4DA1">
      <w:pPr>
        <w:pStyle w:val="JuPara"/>
      </w:pPr>
      <w:r w:rsidRPr="004A4DA1">
        <w:fldChar w:fldCharType="begin"/>
      </w:r>
      <w:r w:rsidRPr="004A4DA1">
        <w:instrText xml:space="preserve"> SEQ level0 \*arabic </w:instrText>
      </w:r>
      <w:r w:rsidRPr="004A4DA1">
        <w:fldChar w:fldCharType="separate"/>
      </w:r>
      <w:r w:rsidR="004A4DA1" w:rsidRPr="004A4DA1">
        <w:rPr>
          <w:noProof/>
        </w:rPr>
        <w:t>32</w:t>
      </w:r>
      <w:r w:rsidRPr="004A4DA1">
        <w:fldChar w:fldCharType="end"/>
      </w:r>
      <w:r w:rsidRPr="004A4DA1">
        <w:t>.  Par conséquent, ce remède ne saurait être tenu en compte aux fins du calcul du délai de six mois. La décision interne définitive à prendre en compte pour le calcul dudit délai au sens de l</w:t>
      </w:r>
      <w:r w:rsidR="004A4DA1" w:rsidRPr="004A4DA1">
        <w:t>’</w:t>
      </w:r>
      <w:r w:rsidRPr="004A4DA1">
        <w:t>article 35 § 1 de la Convention est donc l</w:t>
      </w:r>
      <w:r w:rsidR="004A4DA1" w:rsidRPr="004A4DA1">
        <w:t>’</w:t>
      </w:r>
      <w:r w:rsidRPr="004A4DA1">
        <w:t>arrêt de la Cour de cassation du 22 octobre 2000, déposé au greffe le 24 novembre suivant.</w:t>
      </w:r>
    </w:p>
    <w:p w:rsidR="00C410A9" w:rsidRPr="004A4DA1" w:rsidRDefault="00C410A9" w:rsidP="004A4DA1">
      <w:pPr>
        <w:pStyle w:val="JuPara"/>
      </w:pPr>
      <w:r w:rsidRPr="004A4DA1">
        <w:fldChar w:fldCharType="begin"/>
      </w:r>
      <w:r w:rsidRPr="004A4DA1">
        <w:instrText xml:space="preserve"> SEQ level0 \*arabic </w:instrText>
      </w:r>
      <w:r w:rsidRPr="004A4DA1">
        <w:fldChar w:fldCharType="separate"/>
      </w:r>
      <w:r w:rsidR="004A4DA1" w:rsidRPr="004A4DA1">
        <w:rPr>
          <w:noProof/>
        </w:rPr>
        <w:t>33</w:t>
      </w:r>
      <w:r w:rsidRPr="004A4DA1">
        <w:fldChar w:fldCharType="end"/>
      </w:r>
      <w:r w:rsidRPr="004A4DA1">
        <w:t>.  La requête ayant été introduite le 2 aout 2016, elle est tardive et doit être rejetée en application de l</w:t>
      </w:r>
      <w:r w:rsidR="004A4DA1" w:rsidRPr="004A4DA1">
        <w:t>’</w:t>
      </w:r>
      <w:r w:rsidRPr="004A4DA1">
        <w:t>article 35 §§ 1 et 4 de la Convention.</w:t>
      </w:r>
    </w:p>
    <w:p w:rsidR="00C410A9" w:rsidRPr="004A4DA1" w:rsidRDefault="00C410A9" w:rsidP="004A4DA1">
      <w:pPr>
        <w:pStyle w:val="JuParaLast"/>
      </w:pPr>
      <w:r w:rsidRPr="004A4DA1">
        <w:lastRenderedPageBreak/>
        <w:t>Par ces motifs, la Cour, à l</w:t>
      </w:r>
      <w:r w:rsidR="004A4DA1" w:rsidRPr="004A4DA1">
        <w:t>’</w:t>
      </w:r>
      <w:r w:rsidRPr="004A4DA1">
        <w:t>unanimité,</w:t>
      </w:r>
    </w:p>
    <w:p w:rsidR="00C410A9" w:rsidRPr="004A4DA1" w:rsidRDefault="00C410A9" w:rsidP="004A4DA1">
      <w:pPr>
        <w:pStyle w:val="DecList"/>
        <w:keepNext/>
        <w:keepLines/>
      </w:pPr>
      <w:r w:rsidRPr="004A4DA1">
        <w:rPr>
          <w:i/>
        </w:rPr>
        <w:t>Déclare</w:t>
      </w:r>
      <w:r w:rsidRPr="004A4DA1">
        <w:t xml:space="preserve"> la requête irrecevable.</w:t>
      </w:r>
    </w:p>
    <w:p w:rsidR="00050A32" w:rsidRPr="004A4DA1" w:rsidRDefault="00F40988" w:rsidP="004A4DA1">
      <w:pPr>
        <w:pStyle w:val="JuParaLast"/>
        <w:rPr>
          <w:sz w:val="14"/>
        </w:rPr>
      </w:pPr>
      <w:r w:rsidRPr="004A4DA1">
        <w:rPr>
          <w:szCs w:val="24"/>
        </w:rPr>
        <w:t xml:space="preserve">Fait en français puis communiqué par écrit le </w:t>
      </w:r>
      <w:r w:rsidR="00C410A9" w:rsidRPr="004A4DA1">
        <w:rPr>
          <w:szCs w:val="24"/>
        </w:rPr>
        <w:t>22 octobre 2020</w:t>
      </w:r>
      <w:r w:rsidRPr="004A4DA1">
        <w:t>.</w:t>
      </w:r>
    </w:p>
    <w:p w:rsidR="0091478F" w:rsidRPr="004A4DA1" w:rsidRDefault="00050A32" w:rsidP="004A4DA1">
      <w:pPr>
        <w:pStyle w:val="JuSigned"/>
      </w:pPr>
      <w:r w:rsidRPr="004A4DA1">
        <w:tab/>
      </w:r>
      <w:r w:rsidR="00C410A9" w:rsidRPr="004A4DA1">
        <w:rPr>
          <w:rFonts w:eastAsia="PMingLiU"/>
        </w:rPr>
        <w:t>Renata Degener</w:t>
      </w:r>
      <w:r w:rsidR="0091478F" w:rsidRPr="004A4DA1">
        <w:tab/>
      </w:r>
      <w:r w:rsidR="00C410A9" w:rsidRPr="004A4DA1">
        <w:t>Pere Pastor Vilanova</w:t>
      </w:r>
      <w:r w:rsidR="0058193F" w:rsidRPr="004A4DA1">
        <w:br/>
      </w:r>
      <w:r w:rsidR="0035621E" w:rsidRPr="004A4DA1">
        <w:rPr>
          <w:iCs/>
        </w:rPr>
        <w:tab/>
      </w:r>
      <w:r w:rsidR="00C410A9" w:rsidRPr="004A4DA1">
        <w:t>Greffière adjointe</w:t>
      </w:r>
      <w:r w:rsidR="0091478F" w:rsidRPr="004A4DA1">
        <w:tab/>
      </w:r>
      <w:r w:rsidR="00C410A9" w:rsidRPr="004A4DA1">
        <w:t>Président</w:t>
      </w:r>
    </w:p>
    <w:sectPr w:rsidR="0091478F" w:rsidRPr="004A4DA1" w:rsidSect="00AF71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A53" w:rsidRPr="001D4B94" w:rsidRDefault="00990A53" w:rsidP="006544C4">
      <w:r w:rsidRPr="001D4B94">
        <w:separator/>
      </w:r>
    </w:p>
  </w:endnote>
  <w:endnote w:type="continuationSeparator" w:id="0">
    <w:p w:rsidR="00990A53" w:rsidRPr="001D4B94" w:rsidRDefault="00990A53" w:rsidP="006544C4">
      <w:r w:rsidRPr="001D4B9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102" w:rsidRPr="001D4B94" w:rsidRDefault="00C410A9" w:rsidP="00FB64E0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4A4DA1"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102" w:rsidRPr="001D4B94" w:rsidRDefault="00C410A9" w:rsidP="00FB64E0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4A4DA1"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0A9" w:rsidRPr="00150BFA" w:rsidRDefault="00C410A9" w:rsidP="0020718E">
    <w:pPr>
      <w:jc w:val="center"/>
    </w:pPr>
    <w:r>
      <w:rPr>
        <w:noProof/>
        <w:lang w:val="en-US" w:eastAsia="ja-JP"/>
      </w:rPr>
      <w:drawing>
        <wp:inline distT="0" distB="0" distL="0" distR="0" wp14:anchorId="6553594A" wp14:editId="49954A5E">
          <wp:extent cx="771525" cy="619125"/>
          <wp:effectExtent l="0" t="0" r="9525" b="9525"/>
          <wp:docPr id="22" name="Picture 22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1D4B94" w:rsidRDefault="00990A53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A53" w:rsidRPr="001D4B94" w:rsidRDefault="00990A53" w:rsidP="006544C4">
      <w:r w:rsidRPr="001D4B94">
        <w:separator/>
      </w:r>
    </w:p>
  </w:footnote>
  <w:footnote w:type="continuationSeparator" w:id="0">
    <w:p w:rsidR="00990A53" w:rsidRPr="001D4B94" w:rsidRDefault="00990A53" w:rsidP="006544C4">
      <w:r w:rsidRPr="001D4B9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D62" w:rsidRPr="001D4B94" w:rsidRDefault="00334EC5" w:rsidP="003312A3">
    <w:pPr>
      <w:pStyle w:val="JuHeader"/>
    </w:pPr>
    <w:r w:rsidRPr="001D4B94">
      <w:t xml:space="preserve">DÉCISION </w:t>
    </w:r>
    <w:r w:rsidR="00C410A9">
      <w:t>AMBROSIO c. ITALIE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D62" w:rsidRPr="001D4B94" w:rsidRDefault="00334EC5" w:rsidP="006544C4">
    <w:pPr>
      <w:pStyle w:val="JuHeader"/>
    </w:pPr>
    <w:r w:rsidRPr="001D4B94">
      <w:t xml:space="preserve">DÉCISION </w:t>
    </w:r>
    <w:r w:rsidR="00C410A9">
      <w:t>AMBROSIO c. ITALIE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0A9" w:rsidRPr="00A45145" w:rsidRDefault="00C410A9" w:rsidP="00A45145">
    <w:pPr>
      <w:jc w:val="center"/>
    </w:pPr>
    <w:r>
      <w:rPr>
        <w:noProof/>
        <w:lang w:val="en-US" w:eastAsia="ja-JP"/>
      </w:rPr>
      <w:drawing>
        <wp:inline distT="0" distB="0" distL="0" distR="0" wp14:anchorId="0C873F54" wp14:editId="3B952FB0">
          <wp:extent cx="2962275" cy="1219200"/>
          <wp:effectExtent l="0" t="0" r="9525" b="0"/>
          <wp:docPr id="17" name="Picture 1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1D4B94" w:rsidRDefault="00990A53" w:rsidP="003146E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8B2457E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1191" w:hanging="358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7)"/>
      <w:lvlJc w:val="left"/>
      <w:pPr>
        <w:ind w:left="1372" w:hanging="334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lvlText w:val="‒"/>
      <w:lvlJc w:val="left"/>
      <w:pPr>
        <w:ind w:left="1418" w:hanging="182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▪"/>
      <w:lvlJc w:val="left"/>
      <w:pPr>
        <w:ind w:left="1644" w:hanging="221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BD4225D2"/>
    <w:styleLink w:val="ECHRA1StyleLis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85E6A40"/>
    <w:multiLevelType w:val="multilevel"/>
    <w:tmpl w:val="3704F6F0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lvlText w:val="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F842BC8C"/>
    <w:styleLink w:val="ECHRA1StyleBulletedSquar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56B9429C"/>
    <w:multiLevelType w:val="multilevel"/>
    <w:tmpl w:val="4CD28D7E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%6.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pStyle w:val="JuHalpha"/>
      <w:lvlText w:val="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8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15"/>
  </w:num>
  <w:num w:numId="7">
    <w:abstractNumId w:val="12"/>
  </w:num>
  <w:num w:numId="8">
    <w:abstractNumId w:val="16"/>
  </w:num>
  <w:num w:numId="9">
    <w:abstractNumId w:val="1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3"/>
  </w:num>
  <w:num w:numId="28">
    <w:abstractNumId w:val="13"/>
  </w:num>
  <w:num w:numId="29">
    <w:abstractNumId w:val="13"/>
  </w:num>
  <w:num w:numId="30">
    <w:abstractNumId w:val="14"/>
  </w:num>
  <w:num w:numId="31">
    <w:abstractNumId w:val="11"/>
  </w:num>
  <w:num w:numId="32">
    <w:abstractNumId w:val="10"/>
  </w:num>
  <w:num w:numId="33">
    <w:abstractNumId w:val="15"/>
  </w:num>
  <w:num w:numId="34">
    <w:abstractNumId w:val="12"/>
  </w:num>
  <w:num w:numId="35">
    <w:abstractNumId w:val="16"/>
  </w:num>
  <w:num w:numId="36">
    <w:abstractNumId w:val="18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1"/>
    <w:docVar w:name="EMM" w:val="0"/>
    <w:docVar w:name="NBEMMDOC" w:val="0"/>
  </w:docVars>
  <w:rsids>
    <w:rsidRoot w:val="00C410A9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41A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4B9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609F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3386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4FDF"/>
    <w:rsid w:val="00477E3A"/>
    <w:rsid w:val="00483E5F"/>
    <w:rsid w:val="00485FF9"/>
    <w:rsid w:val="004907F0"/>
    <w:rsid w:val="0049140B"/>
    <w:rsid w:val="004923A5"/>
    <w:rsid w:val="00496BFB"/>
    <w:rsid w:val="004A15C7"/>
    <w:rsid w:val="004A4DA1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3149"/>
    <w:rsid w:val="005442EE"/>
    <w:rsid w:val="00547353"/>
    <w:rsid w:val="005474E7"/>
    <w:rsid w:val="005512A3"/>
    <w:rsid w:val="005578CE"/>
    <w:rsid w:val="00560C6F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5F675D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1796B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D7219"/>
    <w:rsid w:val="007E21B2"/>
    <w:rsid w:val="007E2C4E"/>
    <w:rsid w:val="007E3991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48D6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4E78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90A53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55CE9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615B9"/>
    <w:rsid w:val="00B701ED"/>
    <w:rsid w:val="00B8086C"/>
    <w:rsid w:val="00B83A72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12C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15A"/>
    <w:rsid w:val="00C22687"/>
    <w:rsid w:val="00C32E4D"/>
    <w:rsid w:val="00C333A0"/>
    <w:rsid w:val="00C36408"/>
    <w:rsid w:val="00C36A81"/>
    <w:rsid w:val="00C410A9"/>
    <w:rsid w:val="00C41974"/>
    <w:rsid w:val="00C53F4A"/>
    <w:rsid w:val="00C54125"/>
    <w:rsid w:val="00C559CB"/>
    <w:rsid w:val="00C55B54"/>
    <w:rsid w:val="00C6098E"/>
    <w:rsid w:val="00C6152C"/>
    <w:rsid w:val="00C64EBF"/>
    <w:rsid w:val="00C74810"/>
    <w:rsid w:val="00C90D68"/>
    <w:rsid w:val="00C939FE"/>
    <w:rsid w:val="00C947DA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2B09"/>
    <w:rsid w:val="00D6435F"/>
    <w:rsid w:val="00D75E28"/>
    <w:rsid w:val="00D772C2"/>
    <w:rsid w:val="00D8008E"/>
    <w:rsid w:val="00D82C45"/>
    <w:rsid w:val="00D908A8"/>
    <w:rsid w:val="00D90EB3"/>
    <w:rsid w:val="00D91EA0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2784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428BC"/>
    <w:rsid w:val="00F56A6F"/>
    <w:rsid w:val="00F5709C"/>
    <w:rsid w:val="00F64EF1"/>
    <w:rsid w:val="00F8765F"/>
    <w:rsid w:val="00F90767"/>
    <w:rsid w:val="00F9130D"/>
    <w:rsid w:val="00FA685B"/>
    <w:rsid w:val="00FB0C01"/>
    <w:rsid w:val="00FB64E0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semiHidden/>
    <w:rsid w:val="00FB64E0"/>
    <w:pPr>
      <w:jc w:val="both"/>
    </w:pPr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2D60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2D609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2D60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2D60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60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2D60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609F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609F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60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D60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09F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2D609F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FB64E0"/>
    <w:pPr>
      <w:tabs>
        <w:tab w:val="clear" w:pos="4536"/>
        <w:tab w:val="clear" w:pos="9072"/>
      </w:tabs>
      <w:jc w:val="center"/>
    </w:pPr>
    <w:rPr>
      <w:sz w:val="18"/>
      <w:szCs w:val="24"/>
    </w:rPr>
  </w:style>
  <w:style w:type="paragraph" w:customStyle="1" w:styleId="NormalJustified">
    <w:name w:val="Normal_Justified"/>
    <w:basedOn w:val="Normale"/>
    <w:semiHidden/>
    <w:rsid w:val="002D609F"/>
  </w:style>
  <w:style w:type="character" w:styleId="Enfasigrassetto">
    <w:name w:val="Strong"/>
    <w:uiPriority w:val="99"/>
    <w:semiHidden/>
    <w:qFormat/>
    <w:rsid w:val="002D609F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609F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609F"/>
    <w:rPr>
      <w:rFonts w:eastAsiaTheme="minorEastAsia"/>
      <w:sz w:val="24"/>
      <w:lang w:val="fr-FR"/>
    </w:rPr>
  </w:style>
  <w:style w:type="paragraph" w:customStyle="1" w:styleId="DecList">
    <w:name w:val="Dec_List"/>
    <w:aliases w:val="_List"/>
    <w:basedOn w:val="JuList"/>
    <w:uiPriority w:val="22"/>
    <w:rsid w:val="00474FDF"/>
    <w:pPr>
      <w:numPr>
        <w:numId w:val="0"/>
      </w:numPr>
      <w:ind w:left="284"/>
    </w:pPr>
  </w:style>
  <w:style w:type="paragraph" w:customStyle="1" w:styleId="JuQuot">
    <w:name w:val="Ju_Quot"/>
    <w:aliases w:val="_Quote"/>
    <w:basedOn w:val="NormalJustified"/>
    <w:uiPriority w:val="20"/>
    <w:qFormat/>
    <w:rsid w:val="002D609F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2D609F"/>
    <w:pPr>
      <w:numPr>
        <w:numId w:val="29"/>
      </w:numPr>
      <w:spacing w:before="280" w:after="60"/>
    </w:pPr>
    <w:rPr>
      <w:rFonts w:eastAsiaTheme="minorHAnsi"/>
    </w:rPr>
  </w:style>
  <w:style w:type="paragraph" w:customStyle="1" w:styleId="JuLista">
    <w:name w:val="Ju_List_a"/>
    <w:aliases w:val="_List_2"/>
    <w:basedOn w:val="NormalJustified"/>
    <w:uiPriority w:val="23"/>
    <w:rsid w:val="002D609F"/>
    <w:pPr>
      <w:numPr>
        <w:ilvl w:val="1"/>
        <w:numId w:val="29"/>
      </w:numPr>
    </w:pPr>
  </w:style>
  <w:style w:type="paragraph" w:customStyle="1" w:styleId="JuListi">
    <w:name w:val="Ju_List_i"/>
    <w:aliases w:val="_List_3"/>
    <w:basedOn w:val="NormalJustified"/>
    <w:uiPriority w:val="23"/>
    <w:rsid w:val="002D609F"/>
    <w:pPr>
      <w:numPr>
        <w:ilvl w:val="2"/>
        <w:numId w:val="29"/>
      </w:numPr>
    </w:pPr>
  </w:style>
  <w:style w:type="paragraph" w:customStyle="1" w:styleId="Title4">
    <w:name w:val="_Title_4"/>
    <w:basedOn w:val="JuPara"/>
    <w:next w:val="JuPara"/>
    <w:uiPriority w:val="35"/>
    <w:qFormat/>
    <w:rsid w:val="002D609F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2D609F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numbering" w:customStyle="1" w:styleId="ECHRA1StyleBulletedSquare">
    <w:name w:val="ECHR_A1_Style_Bulleted_Square"/>
    <w:basedOn w:val="Nessunelenco"/>
    <w:rsid w:val="002D609F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2D609F"/>
    <w:pPr>
      <w:numPr>
        <w:numId w:val="7"/>
      </w:numPr>
    </w:pPr>
  </w:style>
  <w:style w:type="paragraph" w:customStyle="1" w:styleId="JuHHead">
    <w:name w:val="Ju_H_Head"/>
    <w:aliases w:val="_Head_1"/>
    <w:basedOn w:val="Normale"/>
    <w:next w:val="JuPara"/>
    <w:uiPriority w:val="17"/>
    <w:qFormat/>
    <w:rsid w:val="002D609F"/>
    <w:pPr>
      <w:keepNext/>
      <w:keepLines/>
      <w:numPr>
        <w:numId w:val="26"/>
      </w:numPr>
      <w:spacing w:before="100" w:beforeAutospacing="1" w:after="240"/>
      <w:outlineLvl w:val="0"/>
    </w:pPr>
    <w:rPr>
      <w:caps/>
      <w:sz w:val="28"/>
    </w:rPr>
  </w:style>
  <w:style w:type="numbering" w:customStyle="1" w:styleId="ECHRA1StyleNumberedList">
    <w:name w:val="ECHR_A1_Style_Numbered_List"/>
    <w:basedOn w:val="Nessunelenco"/>
    <w:rsid w:val="002D609F"/>
    <w:pPr>
      <w:numPr>
        <w:numId w:val="8"/>
      </w:numPr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609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609F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table" w:customStyle="1" w:styleId="ECHRTable2019">
    <w:name w:val="ECHR_Table_2019"/>
    <w:basedOn w:val="Tabellanormale"/>
    <w:uiPriority w:val="99"/>
    <w:rsid w:val="002D609F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2D609F"/>
    <w:rPr>
      <w:sz w:val="8"/>
    </w:rPr>
  </w:style>
  <w:style w:type="paragraph" w:customStyle="1" w:styleId="JuCase">
    <w:name w:val="Ju_Case"/>
    <w:basedOn w:val="Normale"/>
    <w:next w:val="JuPara"/>
    <w:uiPriority w:val="31"/>
    <w:rsid w:val="002D609F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31"/>
    <w:qFormat/>
    <w:rsid w:val="002D609F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2D609F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aliases w:val="_Head_2"/>
    <w:basedOn w:val="Normale"/>
    <w:next w:val="JuPara"/>
    <w:uiPriority w:val="17"/>
    <w:qFormat/>
    <w:rsid w:val="002D609F"/>
    <w:pPr>
      <w:keepNext/>
      <w:keepLines/>
      <w:numPr>
        <w:ilvl w:val="1"/>
        <w:numId w:val="26"/>
      </w:numPr>
      <w:spacing w:before="100" w:beforeAutospacing="1" w:after="240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7"/>
    <w:qFormat/>
    <w:rsid w:val="002D609F"/>
    <w:pPr>
      <w:keepNext/>
      <w:keepLines/>
      <w:numPr>
        <w:ilvl w:val="2"/>
        <w:numId w:val="26"/>
      </w:numPr>
      <w:spacing w:before="100" w:beforeAutospacing="1" w:after="240"/>
      <w:outlineLvl w:val="2"/>
    </w:pPr>
    <w:rPr>
      <w:b/>
    </w:rPr>
  </w:style>
  <w:style w:type="paragraph" w:customStyle="1" w:styleId="JuH1">
    <w:name w:val="Ju_H_1."/>
    <w:aliases w:val="_Head_4"/>
    <w:basedOn w:val="Normale"/>
    <w:next w:val="JuPara"/>
    <w:uiPriority w:val="17"/>
    <w:rsid w:val="002D609F"/>
    <w:pPr>
      <w:keepNext/>
      <w:keepLines/>
      <w:numPr>
        <w:ilvl w:val="3"/>
        <w:numId w:val="26"/>
      </w:numPr>
      <w:spacing w:before="100" w:beforeAutospacing="1" w:after="120"/>
      <w:outlineLvl w:val="3"/>
    </w:pPr>
    <w:rPr>
      <w:i/>
    </w:rPr>
  </w:style>
  <w:style w:type="paragraph" w:styleId="Intestazione">
    <w:name w:val="header"/>
    <w:basedOn w:val="Normale"/>
    <w:link w:val="IntestazioneCarattere"/>
    <w:uiPriority w:val="57"/>
    <w:semiHidden/>
    <w:rsid w:val="002D609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2D609F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2D609F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a0">
    <w:name w:val="Ju_H_a"/>
    <w:aliases w:val="_Head_5"/>
    <w:basedOn w:val="Normale"/>
    <w:next w:val="JuPara"/>
    <w:uiPriority w:val="17"/>
    <w:rsid w:val="002D609F"/>
    <w:pPr>
      <w:keepNext/>
      <w:keepLines/>
      <w:numPr>
        <w:ilvl w:val="4"/>
        <w:numId w:val="26"/>
      </w:numPr>
      <w:spacing w:before="100" w:beforeAutospacing="1" w:after="120"/>
      <w:outlineLvl w:val="4"/>
    </w:pPr>
    <w:rPr>
      <w:b/>
      <w:sz w:val="20"/>
    </w:rPr>
  </w:style>
  <w:style w:type="paragraph" w:customStyle="1" w:styleId="JuHi">
    <w:name w:val="Ju_H_i"/>
    <w:aliases w:val="_Head_6"/>
    <w:basedOn w:val="Normale"/>
    <w:next w:val="JuPara"/>
    <w:uiPriority w:val="17"/>
    <w:rsid w:val="002D609F"/>
    <w:pPr>
      <w:keepNext/>
      <w:keepLines/>
      <w:numPr>
        <w:ilvl w:val="5"/>
        <w:numId w:val="26"/>
      </w:numPr>
      <w:spacing w:before="100" w:beforeAutospacing="1" w:after="120"/>
      <w:outlineLvl w:val="5"/>
    </w:pPr>
    <w:rPr>
      <w:i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2D609F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alpha">
    <w:name w:val="Ju_H_alpha"/>
    <w:aliases w:val="_Head_7"/>
    <w:basedOn w:val="Normale"/>
    <w:next w:val="JuPara"/>
    <w:uiPriority w:val="17"/>
    <w:rsid w:val="002D609F"/>
    <w:pPr>
      <w:keepNext/>
      <w:keepLines/>
      <w:numPr>
        <w:ilvl w:val="6"/>
        <w:numId w:val="26"/>
      </w:numPr>
      <w:spacing w:before="100" w:beforeAutospacing="1" w:after="120"/>
      <w:outlineLvl w:val="6"/>
    </w:pPr>
    <w:rPr>
      <w:sz w:val="20"/>
    </w:rPr>
  </w:style>
  <w:style w:type="paragraph" w:customStyle="1" w:styleId="JuH">
    <w:name w:val="Ju_H_–"/>
    <w:aliases w:val="_Head_8"/>
    <w:basedOn w:val="Normale"/>
    <w:next w:val="JuPara"/>
    <w:uiPriority w:val="17"/>
    <w:rsid w:val="002D609F"/>
    <w:pPr>
      <w:keepNext/>
      <w:keepLines/>
      <w:numPr>
        <w:ilvl w:val="7"/>
        <w:numId w:val="26"/>
      </w:numPr>
      <w:spacing w:before="100" w:beforeAutospacing="1" w:after="120"/>
      <w:outlineLvl w:val="7"/>
    </w:pPr>
    <w:rPr>
      <w:i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2D609F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2D609F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JuITMark">
    <w:name w:val="Ju_ITMark"/>
    <w:aliases w:val="_ITMark"/>
    <w:basedOn w:val="Carpredefinitoparagrafo"/>
    <w:uiPriority w:val="43"/>
    <w:qFormat/>
    <w:rsid w:val="002D609F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D609F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paragraph" w:customStyle="1" w:styleId="JuJudges">
    <w:name w:val="Ju_Judges"/>
    <w:aliases w:val="_Judges"/>
    <w:basedOn w:val="Normale"/>
    <w:uiPriority w:val="32"/>
    <w:qFormat/>
    <w:rsid w:val="002D609F"/>
    <w:pPr>
      <w:tabs>
        <w:tab w:val="left" w:pos="567"/>
        <w:tab w:val="left" w:pos="1134"/>
      </w:tabs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609F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character" w:customStyle="1" w:styleId="JUNAMES">
    <w:name w:val="JU_NAMES"/>
    <w:uiPriority w:val="34"/>
    <w:qFormat/>
    <w:rsid w:val="002D609F"/>
    <w:rPr>
      <w:caps w:val="0"/>
      <w:smallCaps/>
    </w:rPr>
  </w:style>
  <w:style w:type="character" w:styleId="Enfasidelicata">
    <w:name w:val="Subtle Emphasis"/>
    <w:uiPriority w:val="99"/>
    <w:semiHidden/>
    <w:qFormat/>
    <w:rsid w:val="002D609F"/>
    <w:rPr>
      <w:i/>
      <w:iCs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2D609F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2D609F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60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2D609F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2D609F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2D609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D609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609F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2D609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609F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609F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609F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2D609F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609F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609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609F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2D609F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D609F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609F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609F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2D609F"/>
    <w:rPr>
      <w:smallCaps/>
    </w:rPr>
  </w:style>
  <w:style w:type="table" w:styleId="Grigliatabella">
    <w:name w:val="Table Grid"/>
    <w:basedOn w:val="Tabellanormale"/>
    <w:uiPriority w:val="59"/>
    <w:semiHidden/>
    <w:rsid w:val="002D609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609F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2D609F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D609F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2D609F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2D609F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609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2D609F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609F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SimpleBox">
    <w:name w:val="ECHR_Table_Simple_Box"/>
    <w:basedOn w:val="Tabellanormale"/>
    <w:uiPriority w:val="99"/>
    <w:rsid w:val="002D609F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2D609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2D609F"/>
    <w:pPr>
      <w:numPr>
        <w:numId w:val="3"/>
      </w:numPr>
    </w:pPr>
  </w:style>
  <w:style w:type="table" w:customStyle="1" w:styleId="ECHRTableForInternalUse">
    <w:name w:val="ECHR_Table_For_Internal_Use"/>
    <w:basedOn w:val="Tabellanormale"/>
    <w:uiPriority w:val="99"/>
    <w:rsid w:val="002D609F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2D609F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2D609F"/>
    <w:pPr>
      <w:numPr>
        <w:numId w:val="5"/>
      </w:numPr>
    </w:pPr>
  </w:style>
  <w:style w:type="table" w:customStyle="1" w:styleId="ECHRHeaderTable">
    <w:name w:val="ECHR_Header_Table"/>
    <w:basedOn w:val="Tabellanormale"/>
    <w:uiPriority w:val="99"/>
    <w:rsid w:val="002D609F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2D609F"/>
  </w:style>
  <w:style w:type="paragraph" w:styleId="Testodelblocco">
    <w:name w:val="Block Text"/>
    <w:basedOn w:val="Normale"/>
    <w:uiPriority w:val="99"/>
    <w:semiHidden/>
    <w:rsid w:val="002D609F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2D609F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2D609F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2D609F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2D609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D609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D609F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2"/>
    <w:qFormat/>
    <w:rsid w:val="002D609F"/>
    <w:pPr>
      <w:tabs>
        <w:tab w:val="center" w:pos="851"/>
        <w:tab w:val="center" w:pos="6407"/>
      </w:tabs>
      <w:spacing w:before="720"/>
    </w:p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2D609F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2D609F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2D609F"/>
    <w:pPr>
      <w:numPr>
        <w:numId w:val="37"/>
      </w:numPr>
      <w:contextualSpacing/>
    </w:pPr>
  </w:style>
  <w:style w:type="paragraph" w:styleId="Puntoelenco3">
    <w:name w:val="List Bullet 3"/>
    <w:basedOn w:val="Normale"/>
    <w:uiPriority w:val="99"/>
    <w:semiHidden/>
    <w:rsid w:val="002D609F"/>
    <w:pPr>
      <w:numPr>
        <w:numId w:val="38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D609F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2D609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2D609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D609F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2D609F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D60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D609F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2D609F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2D609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2D609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D609F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2D609F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2D609F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D609F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D60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609F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2D609F"/>
  </w:style>
  <w:style w:type="character" w:customStyle="1" w:styleId="DataCarattere">
    <w:name w:val="Data Carattere"/>
    <w:basedOn w:val="Carpredefinitoparagrafo"/>
    <w:link w:val="Data"/>
    <w:uiPriority w:val="99"/>
    <w:semiHidden/>
    <w:rsid w:val="002D609F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2D609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D609F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2D609F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D609F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2D609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2D609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D609F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2D609F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2D609F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2D609F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2D609F"/>
  </w:style>
  <w:style w:type="paragraph" w:styleId="IndirizzoHTML">
    <w:name w:val="HTML Address"/>
    <w:basedOn w:val="Normale"/>
    <w:link w:val="IndirizzoHTMLCarattere"/>
    <w:uiPriority w:val="99"/>
    <w:semiHidden/>
    <w:rsid w:val="002D609F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D609F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2D609F"/>
    <w:rPr>
      <w:i/>
      <w:iCs/>
    </w:rPr>
  </w:style>
  <w:style w:type="character" w:styleId="CodiceHTML">
    <w:name w:val="HTML Code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2D609F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609F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2D609F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2D609F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2D609F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2D609F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2D609F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2D609F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2D609F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2D609F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2D609F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2D609F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2D609F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2D609F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2D60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2D609F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2D609F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2D609F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2D609F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2D609F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2D609F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2D609F"/>
  </w:style>
  <w:style w:type="paragraph" w:styleId="Elenco">
    <w:name w:val="List"/>
    <w:basedOn w:val="Normale"/>
    <w:uiPriority w:val="99"/>
    <w:semiHidden/>
    <w:rsid w:val="002D609F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2D609F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2D609F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2D609F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2D609F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2D609F"/>
    <w:pPr>
      <w:numPr>
        <w:numId w:val="36"/>
      </w:numPr>
    </w:pPr>
  </w:style>
  <w:style w:type="paragraph" w:styleId="Puntoelenco4">
    <w:name w:val="List Bullet 4"/>
    <w:basedOn w:val="Normale"/>
    <w:uiPriority w:val="99"/>
    <w:semiHidden/>
    <w:rsid w:val="002D609F"/>
    <w:pPr>
      <w:numPr>
        <w:numId w:val="39"/>
      </w:numPr>
      <w:contextualSpacing/>
    </w:pPr>
  </w:style>
  <w:style w:type="paragraph" w:styleId="Puntoelenco5">
    <w:name w:val="List Bullet 5"/>
    <w:basedOn w:val="Normale"/>
    <w:uiPriority w:val="99"/>
    <w:semiHidden/>
    <w:rsid w:val="002D609F"/>
    <w:pPr>
      <w:numPr>
        <w:numId w:val="40"/>
      </w:numPr>
      <w:contextualSpacing/>
    </w:pPr>
  </w:style>
  <w:style w:type="paragraph" w:styleId="Elencocontinua">
    <w:name w:val="List Continue"/>
    <w:basedOn w:val="Normale"/>
    <w:uiPriority w:val="99"/>
    <w:semiHidden/>
    <w:rsid w:val="002D609F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2D609F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2D609F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2D609F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2D609F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2D609F"/>
    <w:pPr>
      <w:numPr>
        <w:numId w:val="41"/>
      </w:numPr>
      <w:contextualSpacing/>
    </w:pPr>
  </w:style>
  <w:style w:type="paragraph" w:styleId="Numeroelenco2">
    <w:name w:val="List Number 2"/>
    <w:basedOn w:val="Normale"/>
    <w:uiPriority w:val="99"/>
    <w:semiHidden/>
    <w:rsid w:val="002D609F"/>
    <w:pPr>
      <w:numPr>
        <w:numId w:val="42"/>
      </w:numPr>
      <w:contextualSpacing/>
    </w:pPr>
  </w:style>
  <w:style w:type="paragraph" w:styleId="Numeroelenco3">
    <w:name w:val="List Number 3"/>
    <w:basedOn w:val="Normale"/>
    <w:uiPriority w:val="99"/>
    <w:semiHidden/>
    <w:rsid w:val="002D609F"/>
    <w:pPr>
      <w:numPr>
        <w:numId w:val="43"/>
      </w:numPr>
      <w:contextualSpacing/>
    </w:pPr>
  </w:style>
  <w:style w:type="paragraph" w:styleId="Numeroelenco4">
    <w:name w:val="List Number 4"/>
    <w:basedOn w:val="Normale"/>
    <w:uiPriority w:val="99"/>
    <w:semiHidden/>
    <w:rsid w:val="002D609F"/>
    <w:pPr>
      <w:numPr>
        <w:numId w:val="44"/>
      </w:numPr>
      <w:contextualSpacing/>
    </w:pPr>
  </w:style>
  <w:style w:type="paragraph" w:styleId="Numeroelenco5">
    <w:name w:val="List Number 5"/>
    <w:basedOn w:val="Normale"/>
    <w:uiPriority w:val="99"/>
    <w:semiHidden/>
    <w:rsid w:val="002D609F"/>
    <w:pPr>
      <w:numPr>
        <w:numId w:val="45"/>
      </w:numPr>
      <w:contextualSpacing/>
    </w:pPr>
  </w:style>
  <w:style w:type="paragraph" w:styleId="Testomacro">
    <w:name w:val="macro"/>
    <w:link w:val="TestomacroCarattere"/>
    <w:uiPriority w:val="99"/>
    <w:semiHidden/>
    <w:rsid w:val="002D60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D609F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2D60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D609F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2D609F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2D609F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2D609F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D609F"/>
    <w:rPr>
      <w:rFonts w:eastAsiaTheme="minorEastAsia"/>
      <w:sz w:val="24"/>
      <w:lang w:val="fr-FR"/>
    </w:rPr>
  </w:style>
  <w:style w:type="character" w:styleId="Testosegnaposto">
    <w:name w:val="Placeholder Text"/>
    <w:basedOn w:val="Carpredefinitoparagrafo"/>
    <w:uiPriority w:val="99"/>
    <w:semiHidden/>
    <w:rsid w:val="002D609F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2D609F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D609F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2D609F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2D609F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2D609F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D609F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2D609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D609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D609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D609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D609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D609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D609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D609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D609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D609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2D609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2D609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2D609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2D609F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2D609F"/>
  </w:style>
  <w:style w:type="table" w:styleId="Tabellaprofessionale">
    <w:name w:val="Table Professional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D609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D609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D609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D60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2D609F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2D609F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2D609F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character" w:customStyle="1" w:styleId="JuParaChar">
    <w:name w:val="Ju_Para Char"/>
    <w:aliases w:val="_Para Char"/>
    <w:link w:val="JuPara"/>
    <w:uiPriority w:val="4"/>
    <w:locked/>
    <w:rsid w:val="00C410A9"/>
    <w:rPr>
      <w:rFonts w:eastAsiaTheme="minorEastAsia"/>
      <w:sz w:val="24"/>
      <w:lang w:val="fr-FR"/>
    </w:rPr>
  </w:style>
  <w:style w:type="paragraph" w:customStyle="1" w:styleId="ECHRHeading9">
    <w:name w:val="ECHR_Heading_9"/>
    <w:aliases w:val="_Head_9"/>
    <w:basedOn w:val="Titolo9"/>
    <w:uiPriority w:val="17"/>
    <w:semiHidden/>
    <w:rsid w:val="00C410A9"/>
    <w:pPr>
      <w:keepNext/>
      <w:keepLines/>
      <w:spacing w:before="100" w:beforeAutospacing="1"/>
      <w:ind w:left="1644" w:hanging="221"/>
      <w:contextualSpacing/>
      <w:jc w:val="left"/>
    </w:pPr>
    <w:rPr>
      <w:i w:val="0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47B4-7375-4764-B5FC-730100089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BB8722-7DCC-451B-8021-E071DC2B0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2A6FD-B7C2-4D05-8F33-DF61C329F0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3B6C48-654E-49EE-AD40-CD74DBA1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2032</Words>
  <Characters>11586</Characters>
  <Application>Microsoft Office Word</Application>
  <DocSecurity>0</DocSecurity>
  <Lines>96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2021-04-01T11:27:00Z</dcterms:created>
  <dcterms:modified xsi:type="dcterms:W3CDTF">2021-04-01T11:27:00Z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47271/16</vt:lpwstr>
  </property>
  <property fmtid="{D5CDD505-2E9C-101B-9397-08002B2CF9AE}" pid="4" name="CASEID">
    <vt:lpwstr>1230764</vt:lpwstr>
  </property>
  <property fmtid="{D5CDD505-2E9C-101B-9397-08002B2CF9AE}" pid="5" name="ContentTypeId">
    <vt:lpwstr>0x010100558EB02BDB9E204AB350EDD385B68E10</vt:lpwstr>
  </property>
</Properties>
</file>